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87" w:rsidRPr="00282633" w:rsidRDefault="00DD2C87" w:rsidP="00282633">
      <w:pPr>
        <w:pStyle w:val="Zkladntext"/>
        <w:jc w:val="left"/>
      </w:pPr>
      <w:r w:rsidRPr="00875D88">
        <w:t xml:space="preserve">Příloha č. </w:t>
      </w:r>
      <w:r w:rsidR="002A64B5">
        <w:t>3</w:t>
      </w:r>
      <w:bookmarkStart w:id="0" w:name="_GoBack"/>
      <w:bookmarkEnd w:id="0"/>
    </w:p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F93E28" w:rsidRDefault="00F93E28" w:rsidP="00DD2C87">
      <w:pPr>
        <w:pStyle w:val="Zkladntext"/>
        <w:ind w:left="-180" w:right="-108"/>
        <w:rPr>
          <w:sz w:val="22"/>
          <w:szCs w:val="22"/>
          <w:u w:val="single"/>
        </w:rPr>
      </w:pPr>
      <w:r w:rsidRPr="00F93E28">
        <w:rPr>
          <w:sz w:val="22"/>
          <w:szCs w:val="22"/>
          <w:u w:val="single"/>
        </w:rPr>
        <w:t>„Dezinsekce bytových objektů, společných prostor a prostor sloužících k podnikání ve správě OSBN Kolín"</w:t>
      </w: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…………….…</w:t>
      </w:r>
      <w:r>
        <w:rPr>
          <w:rFonts w:ascii="Arial" w:hAnsi="Arial" w:cs="Arial"/>
          <w:sz w:val="22"/>
          <w:szCs w:val="22"/>
        </w:rPr>
        <w:t>dne: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964141">
        <w:rPr>
          <w:rFonts w:ascii="Arial" w:hAnsi="Arial" w:cs="Arial"/>
          <w:sz w:val="22"/>
          <w:szCs w:val="22"/>
          <w:highlight w:val="yellow"/>
        </w:rPr>
        <w:t>….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64141">
        <w:rPr>
          <w:rFonts w:ascii="Arial" w:hAnsi="Arial" w:cs="Arial"/>
          <w:sz w:val="22"/>
          <w:szCs w:val="22"/>
          <w:highlight w:val="yellow"/>
        </w:rPr>
        <w:t>....…</w:t>
      </w:r>
      <w:proofErr w:type="gramEnd"/>
      <w:r w:rsidRPr="00964141">
        <w:rPr>
          <w:rFonts w:ascii="Arial" w:hAnsi="Arial" w:cs="Arial"/>
          <w:sz w:val="22"/>
          <w:szCs w:val="22"/>
          <w:highlight w:val="yellow"/>
        </w:rPr>
        <w:t>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64141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1F1168"/>
    <w:rsid w:val="00211EEB"/>
    <w:rsid w:val="002608F6"/>
    <w:rsid w:val="0026336F"/>
    <w:rsid w:val="00282633"/>
    <w:rsid w:val="00283F3D"/>
    <w:rsid w:val="00287E15"/>
    <w:rsid w:val="00295459"/>
    <w:rsid w:val="00297827"/>
    <w:rsid w:val="002A64B5"/>
    <w:rsid w:val="002C277B"/>
    <w:rsid w:val="002F6E81"/>
    <w:rsid w:val="00331E35"/>
    <w:rsid w:val="003379D6"/>
    <w:rsid w:val="00344B73"/>
    <w:rsid w:val="003706D3"/>
    <w:rsid w:val="00391684"/>
    <w:rsid w:val="00427D01"/>
    <w:rsid w:val="00466DB1"/>
    <w:rsid w:val="00496906"/>
    <w:rsid w:val="004B5F07"/>
    <w:rsid w:val="004D15B3"/>
    <w:rsid w:val="00533E6B"/>
    <w:rsid w:val="006664CF"/>
    <w:rsid w:val="00675858"/>
    <w:rsid w:val="006E383C"/>
    <w:rsid w:val="006F7E6A"/>
    <w:rsid w:val="00720E80"/>
    <w:rsid w:val="0072474D"/>
    <w:rsid w:val="007E0DD4"/>
    <w:rsid w:val="0080743C"/>
    <w:rsid w:val="00815F13"/>
    <w:rsid w:val="008D054B"/>
    <w:rsid w:val="008D5E49"/>
    <w:rsid w:val="008F272B"/>
    <w:rsid w:val="00905EFE"/>
    <w:rsid w:val="00931400"/>
    <w:rsid w:val="0093146F"/>
    <w:rsid w:val="00931490"/>
    <w:rsid w:val="0094021B"/>
    <w:rsid w:val="00963EA1"/>
    <w:rsid w:val="00964141"/>
    <w:rsid w:val="00B03B4A"/>
    <w:rsid w:val="00B106E1"/>
    <w:rsid w:val="00B17744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74FBC"/>
    <w:rsid w:val="00EA163F"/>
    <w:rsid w:val="00EA1890"/>
    <w:rsid w:val="00EC2463"/>
    <w:rsid w:val="00EC536F"/>
    <w:rsid w:val="00F05683"/>
    <w:rsid w:val="00F26137"/>
    <w:rsid w:val="00F42864"/>
    <w:rsid w:val="00F553A3"/>
    <w:rsid w:val="00F93E28"/>
    <w:rsid w:val="00FB17DB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E2E0"/>
  <w15:docId w15:val="{046702A8-BFBC-48E1-9071-B9B36E3C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FF9F9-624B-49D1-B6AC-D8CFE096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Holubová Ivana</cp:lastModifiedBy>
  <cp:revision>5</cp:revision>
  <cp:lastPrinted>2017-09-19T09:37:00Z</cp:lastPrinted>
  <dcterms:created xsi:type="dcterms:W3CDTF">2026-01-09T08:17:00Z</dcterms:created>
  <dcterms:modified xsi:type="dcterms:W3CDTF">2026-01-21T10:55:00Z</dcterms:modified>
</cp:coreProperties>
</file>