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77777777"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FB3F60" w:rsidRDefault="003808C7" w:rsidP="001444B3">
      <w:pPr>
        <w:pStyle w:val="Normodsaz"/>
        <w:tabs>
          <w:tab w:val="clear" w:pos="567"/>
          <w:tab w:val="left" w:pos="3969"/>
        </w:tabs>
        <w:spacing w:before="0" w:after="0"/>
        <w:ind w:left="709" w:firstLine="0"/>
        <w:jc w:val="left"/>
        <w:rPr>
          <w:rFonts w:ascii="Arial" w:hAnsi="Arial" w:cs="Arial"/>
          <w:sz w:val="20"/>
          <w:szCs w:val="20"/>
          <w:highlight w:val="yellow"/>
        </w:rPr>
      </w:pPr>
      <w:r w:rsidRPr="00FB3F60">
        <w:rPr>
          <w:rFonts w:ascii="Arial" w:hAnsi="Arial" w:cs="Arial"/>
          <w:sz w:val="20"/>
          <w:szCs w:val="20"/>
          <w:highlight w:val="yellow"/>
        </w:rPr>
        <w:t xml:space="preserve">se sídlem: </w:t>
      </w:r>
      <w:r w:rsidR="001444B3" w:rsidRPr="00FB3F60">
        <w:rPr>
          <w:rFonts w:ascii="Arial" w:hAnsi="Arial" w:cs="Arial"/>
          <w:sz w:val="20"/>
          <w:szCs w:val="20"/>
          <w:highlight w:val="yellow"/>
        </w:rPr>
        <w:tab/>
      </w:r>
    </w:p>
    <w:p w14:paraId="38263570" w14:textId="77777777" w:rsidR="0020129E" w:rsidRPr="00FB3F60"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FB3F60">
        <w:rPr>
          <w:rFonts w:ascii="Arial" w:hAnsi="Arial" w:cs="Arial"/>
          <w:sz w:val="20"/>
          <w:szCs w:val="20"/>
          <w:highlight w:val="yellow"/>
        </w:rPr>
        <w:t xml:space="preserve">IČ: </w:t>
      </w:r>
      <w:r w:rsidRPr="00FB3F60">
        <w:rPr>
          <w:rFonts w:ascii="Arial" w:hAnsi="Arial" w:cs="Arial"/>
          <w:sz w:val="20"/>
          <w:szCs w:val="20"/>
          <w:highlight w:val="yellow"/>
        </w:rPr>
        <w:tab/>
      </w:r>
    </w:p>
    <w:p w14:paraId="2CDCE926" w14:textId="77777777" w:rsidR="0020129E" w:rsidRPr="00FB3F60"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FB3F60">
        <w:rPr>
          <w:rFonts w:ascii="Arial" w:hAnsi="Arial" w:cs="Arial"/>
          <w:sz w:val="20"/>
          <w:szCs w:val="20"/>
          <w:highlight w:val="yellow"/>
        </w:rPr>
        <w:t>DIČ:</w:t>
      </w:r>
      <w:r w:rsidR="001444B3" w:rsidRPr="00FB3F60">
        <w:rPr>
          <w:rFonts w:ascii="Arial" w:hAnsi="Arial" w:cs="Arial"/>
          <w:sz w:val="20"/>
          <w:szCs w:val="20"/>
          <w:highlight w:val="yellow"/>
        </w:rPr>
        <w:tab/>
      </w:r>
    </w:p>
    <w:p w14:paraId="31E91A04" w14:textId="77777777" w:rsidR="001444B3" w:rsidRPr="00FB3F60"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FB3F60">
        <w:rPr>
          <w:rFonts w:ascii="Arial" w:hAnsi="Arial" w:cs="Arial"/>
          <w:sz w:val="20"/>
          <w:szCs w:val="20"/>
          <w:highlight w:val="yellow"/>
        </w:rPr>
        <w:t>Zastoupený</w:t>
      </w:r>
      <w:r w:rsidR="001444B3" w:rsidRPr="00FB3F60">
        <w:rPr>
          <w:rFonts w:ascii="Arial" w:hAnsi="Arial" w:cs="Arial"/>
          <w:sz w:val="20"/>
          <w:szCs w:val="20"/>
          <w:highlight w:val="yellow"/>
        </w:rPr>
        <w:t xml:space="preserve"> ve věcech smluvních</w:t>
      </w:r>
      <w:r w:rsidRPr="00FB3F60">
        <w:rPr>
          <w:rFonts w:ascii="Arial" w:hAnsi="Arial" w:cs="Arial"/>
          <w:sz w:val="20"/>
          <w:szCs w:val="20"/>
          <w:highlight w:val="yellow"/>
        </w:rPr>
        <w:t>:</w:t>
      </w:r>
      <w:r w:rsidR="001444B3" w:rsidRPr="00FB3F60">
        <w:rPr>
          <w:rFonts w:ascii="Arial" w:hAnsi="Arial" w:cs="Arial"/>
          <w:sz w:val="20"/>
          <w:szCs w:val="20"/>
          <w:highlight w:val="yellow"/>
        </w:rPr>
        <w:tab/>
      </w:r>
    </w:p>
    <w:p w14:paraId="5697E2AB" w14:textId="77777777" w:rsidR="0020129E" w:rsidRPr="00FB3F60"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FB3F60">
        <w:rPr>
          <w:rFonts w:ascii="Arial" w:hAnsi="Arial" w:cs="Arial"/>
          <w:sz w:val="20"/>
          <w:szCs w:val="20"/>
          <w:highlight w:val="yellow"/>
        </w:rPr>
        <w:t>Zastoupený ve věcech technických:</w:t>
      </w:r>
      <w:r w:rsidR="0020129E" w:rsidRPr="00FB3F60">
        <w:rPr>
          <w:rFonts w:ascii="Arial" w:hAnsi="Arial" w:cs="Arial"/>
          <w:sz w:val="20"/>
          <w:szCs w:val="20"/>
          <w:highlight w:val="yellow"/>
        </w:rPr>
        <w:t xml:space="preserve"> </w:t>
      </w:r>
      <w:r w:rsidR="0020129E" w:rsidRPr="00FB3F60">
        <w:rPr>
          <w:rFonts w:ascii="Arial" w:hAnsi="Arial" w:cs="Arial"/>
          <w:sz w:val="20"/>
          <w:szCs w:val="20"/>
          <w:highlight w:val="yellow"/>
        </w:rPr>
        <w:tab/>
      </w:r>
    </w:p>
    <w:p w14:paraId="1BDFA472" w14:textId="77777777" w:rsidR="0020129E" w:rsidRPr="00FB3F60"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highlight w:val="yellow"/>
        </w:rPr>
      </w:pPr>
      <w:r w:rsidRPr="00FB3F60">
        <w:rPr>
          <w:rFonts w:ascii="Arial" w:hAnsi="Arial" w:cs="Arial"/>
          <w:sz w:val="20"/>
          <w:szCs w:val="20"/>
          <w:highlight w:val="yellow"/>
        </w:rPr>
        <w:t>B</w:t>
      </w:r>
      <w:r w:rsidR="003808C7" w:rsidRPr="00FB3F60">
        <w:rPr>
          <w:rFonts w:ascii="Arial" w:hAnsi="Arial" w:cs="Arial"/>
          <w:sz w:val="20"/>
          <w:szCs w:val="20"/>
          <w:highlight w:val="yellow"/>
        </w:rPr>
        <w:t>ankovní spojení:</w:t>
      </w:r>
      <w:r w:rsidR="003808C7" w:rsidRPr="00FB3F60">
        <w:rPr>
          <w:rFonts w:ascii="Arial" w:hAnsi="Arial" w:cs="Arial"/>
          <w:sz w:val="20"/>
          <w:szCs w:val="20"/>
          <w:highlight w:val="yellow"/>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FB3F60">
        <w:rPr>
          <w:rFonts w:ascii="Arial" w:hAnsi="Arial" w:cs="Arial"/>
          <w:sz w:val="20"/>
          <w:szCs w:val="20"/>
          <w:highlight w:val="yellow"/>
        </w:rPr>
        <w:t>Číslo účtu:</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3CCFCD74" w14:textId="0A48D5B7" w:rsidR="00C14338" w:rsidRPr="0057454E" w:rsidRDefault="00C14338" w:rsidP="00532011">
      <w:pPr>
        <w:pStyle w:val="Zkladntext"/>
        <w:ind w:right="-108"/>
        <w:jc w:val="both"/>
        <w:rPr>
          <w:rFonts w:ascii="Arial" w:hAnsi="Arial" w:cs="Arial"/>
          <w:snapToGrid/>
          <w:color w:val="auto"/>
          <w:sz w:val="20"/>
          <w:u w:val="single"/>
        </w:rPr>
      </w:pPr>
      <w:r w:rsidRPr="00A50507">
        <w:rPr>
          <w:rFonts w:ascii="Arial" w:hAnsi="Arial" w:cs="Arial"/>
          <w:b w:val="0"/>
          <w:snapToGrid/>
          <w:color w:val="auto"/>
          <w:sz w:val="20"/>
        </w:rPr>
        <w:t>tímto uzavírají tuto smlouvu o dílo v souladu s ustanovením § 2586 a násl. zákona č. 89/2012 Sb., občanský zákoník, v platném a účinném znění (dále jen „</w:t>
      </w:r>
      <w:r w:rsidRPr="004467F5">
        <w:rPr>
          <w:rFonts w:ascii="Arial" w:hAnsi="Arial" w:cs="Arial"/>
          <w:b w:val="0"/>
          <w:snapToGrid/>
          <w:color w:val="auto"/>
          <w:sz w:val="20"/>
        </w:rPr>
        <w:t xml:space="preserve">občanský zákoník“), jako výsledek zadávacího řízení na realizaci veřejné zakázky malého </w:t>
      </w:r>
      <w:r w:rsidRPr="0057454E">
        <w:rPr>
          <w:rFonts w:ascii="Arial" w:hAnsi="Arial" w:cs="Arial"/>
          <w:b w:val="0"/>
          <w:snapToGrid/>
          <w:color w:val="auto"/>
          <w:sz w:val="20"/>
        </w:rPr>
        <w:t>rozsahu nazvané</w:t>
      </w:r>
      <w:r w:rsidRPr="0057454E">
        <w:rPr>
          <w:rFonts w:ascii="Arial" w:hAnsi="Arial" w:cs="Arial"/>
          <w:snapToGrid/>
          <w:color w:val="auto"/>
          <w:sz w:val="20"/>
        </w:rPr>
        <w:t xml:space="preserve"> </w:t>
      </w:r>
      <w:r w:rsidR="008C1958" w:rsidRPr="00641A31">
        <w:rPr>
          <w:rFonts w:ascii="Arial" w:hAnsi="Arial" w:cs="Arial"/>
          <w:snapToGrid/>
          <w:color w:val="auto"/>
          <w:sz w:val="20"/>
          <w:u w:val="single"/>
        </w:rPr>
        <w:t>„</w:t>
      </w:r>
      <w:r w:rsidR="00B1448B" w:rsidRPr="00B1448B">
        <w:rPr>
          <w:rFonts w:ascii="Arial" w:hAnsi="Arial" w:cs="Arial"/>
          <w:snapToGrid/>
          <w:color w:val="auto"/>
          <w:sz w:val="20"/>
          <w:u w:val="single"/>
        </w:rPr>
        <w:t xml:space="preserve">Rekonstrukce </w:t>
      </w:r>
      <w:r w:rsidR="008C1958" w:rsidRPr="00641A31">
        <w:rPr>
          <w:rFonts w:ascii="Arial" w:hAnsi="Arial" w:cs="Arial"/>
          <w:snapToGrid/>
          <w:color w:val="auto"/>
          <w:sz w:val="20"/>
          <w:u w:val="single"/>
        </w:rPr>
        <w:t xml:space="preserve">střešního pláště </w:t>
      </w:r>
      <w:r w:rsidR="008C1958" w:rsidRPr="00641A31">
        <w:rPr>
          <w:rFonts w:ascii="Arial" w:hAnsi="Arial" w:cs="Arial"/>
          <w:sz w:val="20"/>
          <w:u w:val="single"/>
          <w:lang w:eastAsia="zh-CN"/>
        </w:rPr>
        <w:t xml:space="preserve">na </w:t>
      </w:r>
      <w:r w:rsidR="00DB3AF2">
        <w:rPr>
          <w:rFonts w:ascii="Arial" w:hAnsi="Arial" w:cs="Arial"/>
          <w:sz w:val="20"/>
          <w:u w:val="single"/>
          <w:lang w:eastAsia="zh-CN"/>
        </w:rPr>
        <w:t>objektu</w:t>
      </w:r>
      <w:r w:rsidR="008C1958" w:rsidRPr="00641A31">
        <w:rPr>
          <w:rFonts w:ascii="Arial" w:hAnsi="Arial" w:cs="Arial"/>
          <w:sz w:val="20"/>
          <w:u w:val="single"/>
          <w:lang w:eastAsia="zh-CN"/>
        </w:rPr>
        <w:t xml:space="preserve"> Jeslí, č. p. 975 v ul. Štítného, Kolín V</w:t>
      </w:r>
      <w:r w:rsidR="009E5E75">
        <w:rPr>
          <w:rFonts w:ascii="Arial" w:hAnsi="Arial" w:cs="Arial"/>
          <w:sz w:val="20"/>
          <w:u w:val="single"/>
          <w:lang w:eastAsia="zh-CN"/>
        </w:rPr>
        <w:t>“.</w:t>
      </w:r>
    </w:p>
    <w:p w14:paraId="0B09AD0A" w14:textId="77777777" w:rsidR="00CE646E" w:rsidRPr="00AC71B7" w:rsidRDefault="00CE646E" w:rsidP="00D14616">
      <w:pPr>
        <w:rPr>
          <w:rFonts w:ascii="Arial" w:hAnsi="Arial" w:cs="Arial"/>
          <w:sz w:val="20"/>
          <w:szCs w:val="20"/>
        </w:rPr>
      </w:pPr>
    </w:p>
    <w:p w14:paraId="702E1C89" w14:textId="050C316E" w:rsidR="007A1AD0" w:rsidRDefault="007A1AD0"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6C4062A0" w14:textId="75372AFD" w:rsidR="0048045D" w:rsidRDefault="0048045D" w:rsidP="0048045D">
      <w:pPr>
        <w:pStyle w:val="Odstavecseseznamem"/>
        <w:numPr>
          <w:ilvl w:val="0"/>
          <w:numId w:val="28"/>
        </w:numPr>
        <w:autoSpaceDE w:val="0"/>
        <w:autoSpaceDN w:val="0"/>
        <w:adjustRightInd w:val="0"/>
        <w:ind w:left="142"/>
        <w:jc w:val="both"/>
        <w:rPr>
          <w:rFonts w:ascii="Arial" w:hAnsi="Arial" w:cs="Arial"/>
          <w:b w:val="0"/>
          <w:sz w:val="20"/>
          <w:lang w:eastAsia="zh-CN"/>
        </w:rPr>
      </w:pPr>
      <w:r w:rsidRPr="0048045D">
        <w:rPr>
          <w:rFonts w:ascii="Arial" w:hAnsi="Arial" w:cs="Arial"/>
          <w:b w:val="0"/>
          <w:sz w:val="20"/>
          <w:lang w:eastAsia="zh-CN"/>
        </w:rPr>
        <w:t xml:space="preserve">Předmětem této smlouvy je závazek zhotovitele provést na svůj náklad a nebezpečí pro </w:t>
      </w:r>
      <w:r w:rsidR="00B1448B">
        <w:rPr>
          <w:rFonts w:ascii="Arial" w:hAnsi="Arial" w:cs="Arial"/>
          <w:b w:val="0"/>
          <w:sz w:val="20"/>
          <w:lang w:eastAsia="zh-CN"/>
        </w:rPr>
        <w:t xml:space="preserve">objednatele dílo spočívající v rekonstrukci </w:t>
      </w:r>
      <w:r w:rsidRPr="0048045D">
        <w:rPr>
          <w:rFonts w:ascii="Arial" w:hAnsi="Arial" w:cs="Arial"/>
          <w:b w:val="0"/>
          <w:sz w:val="20"/>
          <w:lang w:eastAsia="zh-CN"/>
        </w:rPr>
        <w:t xml:space="preserve">střešního pláště </w:t>
      </w:r>
      <w:r w:rsidR="008C1958" w:rsidRPr="008C1958">
        <w:rPr>
          <w:rFonts w:ascii="Arial" w:hAnsi="Arial" w:cs="Arial"/>
          <w:b w:val="0"/>
          <w:sz w:val="20"/>
          <w:lang w:eastAsia="zh-CN"/>
        </w:rPr>
        <w:t xml:space="preserve">na </w:t>
      </w:r>
      <w:r w:rsidR="00DB3AF2">
        <w:rPr>
          <w:rFonts w:ascii="Arial" w:hAnsi="Arial" w:cs="Arial"/>
          <w:b w:val="0"/>
          <w:sz w:val="20"/>
          <w:lang w:eastAsia="zh-CN"/>
        </w:rPr>
        <w:t>objektu</w:t>
      </w:r>
      <w:r w:rsidR="008C1958" w:rsidRPr="008C1958">
        <w:rPr>
          <w:rFonts w:ascii="Arial" w:hAnsi="Arial" w:cs="Arial"/>
          <w:b w:val="0"/>
          <w:sz w:val="20"/>
          <w:lang w:eastAsia="zh-CN"/>
        </w:rPr>
        <w:t xml:space="preserve"> Jeslí, č. p. 975 v ul. Štítného, Kolín</w:t>
      </w:r>
      <w:r w:rsidR="00F917DE">
        <w:rPr>
          <w:rFonts w:ascii="Arial" w:hAnsi="Arial" w:cs="Arial"/>
          <w:b w:val="0"/>
          <w:sz w:val="20"/>
          <w:lang w:eastAsia="zh-CN"/>
        </w:rPr>
        <w:t xml:space="preserve"> V </w:t>
      </w:r>
      <w:r w:rsidR="009342FC" w:rsidRPr="009342FC">
        <w:rPr>
          <w:rFonts w:ascii="Arial" w:hAnsi="Arial" w:cs="Arial"/>
          <w:b w:val="0"/>
          <w:sz w:val="20"/>
          <w:lang w:eastAsia="zh-CN"/>
        </w:rPr>
        <w:t>na zá</w:t>
      </w:r>
      <w:r w:rsidR="00C96917">
        <w:rPr>
          <w:rFonts w:ascii="Arial" w:hAnsi="Arial" w:cs="Arial"/>
          <w:b w:val="0"/>
          <w:sz w:val="20"/>
          <w:lang w:eastAsia="zh-CN"/>
        </w:rPr>
        <w:t>kladě zpracovaného výkazu výměr</w:t>
      </w:r>
      <w:r w:rsidR="009342FC" w:rsidRPr="009342FC">
        <w:rPr>
          <w:rFonts w:ascii="Arial" w:hAnsi="Arial" w:cs="Arial"/>
          <w:b w:val="0"/>
          <w:sz w:val="20"/>
          <w:lang w:eastAsia="zh-CN"/>
        </w:rPr>
        <w:t xml:space="preserve"> a digitálního zaměření</w:t>
      </w:r>
      <w:r w:rsidR="009F01C8">
        <w:rPr>
          <w:rFonts w:ascii="Arial" w:hAnsi="Arial" w:cs="Arial"/>
          <w:b w:val="0"/>
          <w:sz w:val="20"/>
          <w:lang w:eastAsia="zh-CN"/>
        </w:rPr>
        <w:t xml:space="preserve">, a to </w:t>
      </w:r>
      <w:r w:rsidRPr="0048045D">
        <w:rPr>
          <w:rFonts w:ascii="Arial" w:hAnsi="Arial" w:cs="Arial"/>
          <w:b w:val="0"/>
          <w:sz w:val="20"/>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Podrobná specifikace díla je uvedena v příloze č. 1 této smlouvy. </w:t>
      </w:r>
    </w:p>
    <w:p w14:paraId="623C9919" w14:textId="77777777" w:rsidR="008C1958" w:rsidRPr="008C1958" w:rsidRDefault="008C1958" w:rsidP="008C1958">
      <w:pPr>
        <w:autoSpaceDE w:val="0"/>
        <w:autoSpaceDN w:val="0"/>
        <w:adjustRightInd w:val="0"/>
        <w:ind w:left="6401"/>
        <w:jc w:val="both"/>
        <w:rPr>
          <w:rFonts w:ascii="Arial" w:hAnsi="Arial" w:cs="Arial"/>
          <w:sz w:val="20"/>
          <w:lang w:eastAsia="zh-CN"/>
        </w:rPr>
      </w:pPr>
    </w:p>
    <w:p w14:paraId="6336415E" w14:textId="56AC0A28" w:rsidR="003F6D45" w:rsidRPr="008C1958" w:rsidRDefault="00FA24BB" w:rsidP="008C1958">
      <w:pPr>
        <w:pStyle w:val="Odstavecseseznamem"/>
        <w:numPr>
          <w:ilvl w:val="0"/>
          <w:numId w:val="28"/>
        </w:numPr>
        <w:autoSpaceDE w:val="0"/>
        <w:autoSpaceDN w:val="0"/>
        <w:adjustRightInd w:val="0"/>
        <w:ind w:left="142"/>
        <w:jc w:val="both"/>
        <w:rPr>
          <w:rFonts w:ascii="Arial" w:hAnsi="Arial" w:cs="Arial"/>
          <w:b w:val="0"/>
          <w:sz w:val="20"/>
          <w:lang w:eastAsia="zh-CN"/>
        </w:rPr>
      </w:pPr>
      <w:r w:rsidRPr="008C1958">
        <w:rPr>
          <w:rFonts w:ascii="Arial" w:hAnsi="Arial" w:cs="Arial"/>
          <w:b w:val="0"/>
          <w:sz w:val="20"/>
          <w:lang w:eastAsia="zh-CN"/>
        </w:rPr>
        <w:t>Zhotovitel jako osoba mající odbornost v daném oboru naopak prohlašuje, že si před podpisem této smlouvy plně prostudoval přílohu č. 1 této smlouvy, a že tato je vhodná 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lastRenderedPageBreak/>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46C21F83" w14:textId="74CC2726" w:rsidR="00D34206" w:rsidRDefault="00D34206" w:rsidP="00D14616">
      <w:pPr>
        <w:rPr>
          <w:rFonts w:ascii="Arial" w:hAnsi="Arial" w:cs="Arial"/>
          <w:sz w:val="20"/>
        </w:rPr>
      </w:pPr>
    </w:p>
    <w:p w14:paraId="5706C541" w14:textId="220D069B" w:rsidR="0048045D" w:rsidRDefault="0048045D" w:rsidP="00D14616">
      <w:pPr>
        <w:rPr>
          <w:rFonts w:ascii="Arial" w:hAnsi="Arial" w:cs="Arial"/>
          <w:sz w:val="20"/>
        </w:rPr>
      </w:pPr>
    </w:p>
    <w:p w14:paraId="68C32D64" w14:textId="77777777"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16C7FDC2" w:rsidR="004B07C3" w:rsidRPr="00C96917" w:rsidRDefault="00A6355D" w:rsidP="007A1AD0">
      <w:pPr>
        <w:numPr>
          <w:ilvl w:val="0"/>
          <w:numId w:val="13"/>
        </w:numPr>
        <w:ind w:left="426" w:hanging="426"/>
        <w:jc w:val="both"/>
        <w:rPr>
          <w:rFonts w:ascii="Arial" w:hAnsi="Arial" w:cs="Arial"/>
          <w:b/>
          <w:strike/>
          <w:sz w:val="20"/>
          <w:szCs w:val="20"/>
        </w:rPr>
      </w:pPr>
      <w:r w:rsidRPr="00C96917">
        <w:rPr>
          <w:rFonts w:ascii="Arial" w:hAnsi="Arial" w:cs="Arial"/>
          <w:sz w:val="20"/>
          <w:szCs w:val="20"/>
        </w:rPr>
        <w:t xml:space="preserve">Zhotovitel se zavazuje zahájit realizaci díla </w:t>
      </w:r>
      <w:r w:rsidR="00C96917" w:rsidRPr="00C96917">
        <w:rPr>
          <w:rFonts w:ascii="Arial" w:hAnsi="Arial" w:cs="Arial"/>
          <w:sz w:val="20"/>
          <w:szCs w:val="20"/>
        </w:rPr>
        <w:t xml:space="preserve">od </w:t>
      </w:r>
      <w:proofErr w:type="gramStart"/>
      <w:r w:rsidR="00F1121A">
        <w:rPr>
          <w:rFonts w:ascii="Arial" w:hAnsi="Arial" w:cs="Arial"/>
          <w:sz w:val="20"/>
          <w:szCs w:val="20"/>
        </w:rPr>
        <w:t>0</w:t>
      </w:r>
      <w:r w:rsidR="00C96917" w:rsidRPr="00C96917">
        <w:rPr>
          <w:rFonts w:ascii="Arial" w:hAnsi="Arial" w:cs="Arial"/>
          <w:sz w:val="20"/>
          <w:szCs w:val="20"/>
        </w:rPr>
        <w:t>1.</w:t>
      </w:r>
      <w:r w:rsidR="00F1121A">
        <w:rPr>
          <w:rFonts w:ascii="Arial" w:hAnsi="Arial" w:cs="Arial"/>
          <w:sz w:val="20"/>
          <w:szCs w:val="20"/>
        </w:rPr>
        <w:t>0</w:t>
      </w:r>
      <w:r w:rsidR="00C96917" w:rsidRPr="00C96917">
        <w:rPr>
          <w:rFonts w:ascii="Arial" w:hAnsi="Arial" w:cs="Arial"/>
          <w:sz w:val="20"/>
          <w:szCs w:val="20"/>
        </w:rPr>
        <w:t>4.2026</w:t>
      </w:r>
      <w:proofErr w:type="gramEnd"/>
      <w:r w:rsidR="00C96917" w:rsidRPr="00C96917">
        <w:rPr>
          <w:rFonts w:ascii="Arial" w:hAnsi="Arial" w:cs="Arial"/>
          <w:sz w:val="20"/>
          <w:szCs w:val="20"/>
        </w:rPr>
        <w:t xml:space="preserve"> dle klimatických podmínek</w:t>
      </w:r>
      <w:r w:rsidR="00A40CB2" w:rsidRPr="00C96917">
        <w:rPr>
          <w:rFonts w:ascii="Arial" w:hAnsi="Arial" w:cs="Arial"/>
          <w:b/>
          <w:sz w:val="20"/>
          <w:szCs w:val="20"/>
        </w:rPr>
        <w:t>.</w:t>
      </w:r>
    </w:p>
    <w:p w14:paraId="02273A79" w14:textId="4521C40D" w:rsidR="004B07C3" w:rsidRPr="00C96917" w:rsidRDefault="004B07C3" w:rsidP="007A1AD0">
      <w:pPr>
        <w:numPr>
          <w:ilvl w:val="0"/>
          <w:numId w:val="13"/>
        </w:numPr>
        <w:ind w:left="426" w:hanging="426"/>
        <w:jc w:val="both"/>
        <w:rPr>
          <w:rFonts w:ascii="Arial" w:hAnsi="Arial" w:cs="Arial"/>
          <w:sz w:val="20"/>
          <w:szCs w:val="20"/>
        </w:rPr>
      </w:pPr>
      <w:r w:rsidRPr="00C96917">
        <w:rPr>
          <w:rFonts w:ascii="Arial" w:hAnsi="Arial" w:cs="Arial"/>
          <w:sz w:val="20"/>
          <w:szCs w:val="20"/>
        </w:rPr>
        <w:t>Dílo se zhotovitel zavazuje dokončit a dokončené p</w:t>
      </w:r>
      <w:r w:rsidR="00F20C83" w:rsidRPr="00C96917">
        <w:rPr>
          <w:rFonts w:ascii="Arial" w:hAnsi="Arial" w:cs="Arial"/>
          <w:sz w:val="20"/>
          <w:szCs w:val="20"/>
        </w:rPr>
        <w:t xml:space="preserve">ředat objednateli nejpozději do </w:t>
      </w:r>
      <w:proofErr w:type="gramStart"/>
      <w:r w:rsidR="00FD7316" w:rsidRPr="00C96917">
        <w:rPr>
          <w:rFonts w:ascii="Arial" w:hAnsi="Arial" w:cs="Arial"/>
          <w:b/>
          <w:sz w:val="20"/>
          <w:szCs w:val="20"/>
        </w:rPr>
        <w:t>31.08.2026</w:t>
      </w:r>
      <w:proofErr w:type="gramEnd"/>
      <w:r w:rsidRPr="00C96917">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w:t>
      </w:r>
      <w:proofErr w:type="gramStart"/>
      <w:r w:rsidR="0037722B" w:rsidRPr="00AF5BAC">
        <w:rPr>
          <w:rFonts w:ascii="Arial" w:hAnsi="Arial" w:cs="Arial"/>
          <w:sz w:val="20"/>
          <w:szCs w:val="20"/>
          <w:lang w:eastAsia="zh-CN"/>
        </w:rPr>
        <w:t xml:space="preserve">kalendářních </w:t>
      </w:r>
      <w:r w:rsidRPr="00AF5BAC">
        <w:rPr>
          <w:rFonts w:ascii="Arial" w:hAnsi="Arial" w:cs="Arial"/>
          <w:sz w:val="20"/>
          <w:szCs w:val="20"/>
          <w:lang w:eastAsia="zh-CN"/>
        </w:rPr>
        <w:t xml:space="preserve"> dnů</w:t>
      </w:r>
      <w:proofErr w:type="gramEnd"/>
      <w:r w:rsidRPr="00AF5BAC">
        <w:rPr>
          <w:rFonts w:ascii="Arial" w:hAnsi="Arial" w:cs="Arial"/>
          <w:sz w:val="20"/>
          <w:szCs w:val="20"/>
          <w:lang w:eastAsia="zh-CN"/>
        </w:rPr>
        <w:t xml:space="preserve">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lastRenderedPageBreak/>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66C101F9" w:rsidR="0075529F" w:rsidRPr="0069077D"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A6355D" w:rsidRPr="00A50507">
        <w:rPr>
          <w:rFonts w:ascii="Arial" w:hAnsi="Arial" w:cs="Arial"/>
          <w:b w:val="0"/>
          <w:sz w:val="20"/>
        </w:rPr>
        <w:t>j</w:t>
      </w:r>
      <w:r w:rsidR="000A1FA2">
        <w:rPr>
          <w:rFonts w:ascii="Arial" w:hAnsi="Arial" w:cs="Arial"/>
          <w:b w:val="0"/>
          <w:sz w:val="20"/>
        </w:rPr>
        <w:t>e</w:t>
      </w:r>
      <w:r w:rsidR="00D26590">
        <w:rPr>
          <w:rFonts w:ascii="Arial" w:hAnsi="Arial" w:cs="Arial"/>
          <w:b w:val="0"/>
          <w:sz w:val="20"/>
        </w:rPr>
        <w:t xml:space="preserve"> </w:t>
      </w:r>
      <w:r w:rsidR="00D17B02">
        <w:rPr>
          <w:rFonts w:ascii="Arial" w:hAnsi="Arial" w:cs="Arial"/>
          <w:b w:val="0"/>
          <w:sz w:val="20"/>
        </w:rPr>
        <w:t>objekt</w:t>
      </w:r>
      <w:r w:rsidR="008C1958">
        <w:rPr>
          <w:rFonts w:ascii="Arial" w:hAnsi="Arial" w:cs="Arial"/>
          <w:b w:val="0"/>
          <w:sz w:val="20"/>
        </w:rPr>
        <w:t xml:space="preserve"> Jeslí,</w:t>
      </w:r>
      <w:r w:rsidR="008C1958" w:rsidRPr="008C1958">
        <w:rPr>
          <w:rFonts w:ascii="Arial" w:hAnsi="Arial" w:cs="Arial"/>
          <w:b w:val="0"/>
          <w:sz w:val="20"/>
          <w:lang w:eastAsia="zh-CN"/>
        </w:rPr>
        <w:t xml:space="preserve"> č. p. 975 v ul. Štítného, Kolín V</w:t>
      </w:r>
      <w:r w:rsidR="008C1958">
        <w:rPr>
          <w:rFonts w:ascii="Arial" w:hAnsi="Arial" w:cs="Arial"/>
          <w:b w:val="0"/>
          <w:sz w:val="20"/>
        </w:rPr>
        <w:t>.</w:t>
      </w:r>
    </w:p>
    <w:p w14:paraId="06338453" w14:textId="6419E386" w:rsidR="0075529F" w:rsidRPr="0075529F" w:rsidRDefault="0075529F" w:rsidP="007A1AD0">
      <w:pPr>
        <w:numPr>
          <w:ilvl w:val="0"/>
          <w:numId w:val="4"/>
        </w:numPr>
        <w:ind w:left="426" w:hanging="426"/>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D26590">
        <w:rPr>
          <w:rFonts w:ascii="Arial" w:hAnsi="Arial" w:cs="Arial"/>
          <w:b/>
          <w:bCs/>
          <w:sz w:val="20"/>
        </w:rPr>
        <w:t>Petr Skopal</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D26590">
        <w:rPr>
          <w:rFonts w:ascii="Arial" w:hAnsi="Arial" w:cs="Arial"/>
          <w:sz w:val="20"/>
        </w:rPr>
        <w:t>tel. + 420 321 748 385</w:t>
      </w:r>
      <w:r w:rsidR="00A6355D" w:rsidRPr="00A6355D">
        <w:rPr>
          <w:rFonts w:ascii="Arial" w:hAnsi="Arial" w:cs="Arial"/>
          <w:sz w:val="20"/>
        </w:rPr>
        <w:t>, e-mail</w:t>
      </w:r>
      <w:r w:rsidR="00A6355D" w:rsidRPr="00C95B14">
        <w:rPr>
          <w:rFonts w:ascii="Arial Narrow" w:hAnsi="Arial Narrow"/>
        </w:rPr>
        <w:t xml:space="preserve">: </w:t>
      </w:r>
      <w:r w:rsidR="00D26590">
        <w:rPr>
          <w:rFonts w:ascii="Arial Narrow" w:hAnsi="Arial Narrow" w:cs="Calibri"/>
        </w:rPr>
        <w:t>petr.skopal@mukolin.cz</w:t>
      </w:r>
    </w:p>
    <w:p w14:paraId="01681695" w14:textId="77777777" w:rsidR="0075529F" w:rsidRPr="0075529F" w:rsidRDefault="0075529F" w:rsidP="007A1AD0">
      <w:pPr>
        <w:pStyle w:val="Odstavecseseznamem"/>
        <w:ind w:left="0"/>
        <w:jc w:val="both"/>
        <w:rPr>
          <w:rFonts w:ascii="Arial" w:hAnsi="Arial" w:cs="Arial"/>
          <w:b w:val="0"/>
          <w:sz w:val="20"/>
        </w:rPr>
      </w:pPr>
    </w:p>
    <w:p w14:paraId="11370EF9" w14:textId="77777777" w:rsidR="007F5BB4" w:rsidRDefault="0075529F" w:rsidP="007A1AD0">
      <w:pPr>
        <w:numPr>
          <w:ilvl w:val="0"/>
          <w:numId w:val="4"/>
        </w:numPr>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roofErr w:type="gramStart"/>
      <w:r w:rsidR="00A6355D">
        <w:rPr>
          <w:rFonts w:ascii="Arial" w:hAnsi="Arial" w:cs="Arial"/>
          <w:sz w:val="20"/>
        </w:rPr>
        <w:t>…..</w:t>
      </w:r>
      <w:proofErr w:type="gramEnd"/>
    </w:p>
    <w:p w14:paraId="08462CD2" w14:textId="77777777" w:rsidR="007F5BB4" w:rsidRPr="00532011" w:rsidRDefault="007F5BB4" w:rsidP="007A1AD0">
      <w:pPr>
        <w:rPr>
          <w:rFonts w:ascii="Arial" w:hAnsi="Arial" w:cs="Arial"/>
          <w:sz w:val="20"/>
        </w:rPr>
      </w:pPr>
    </w:p>
    <w:p w14:paraId="07322269" w14:textId="321773CB"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Objednatel je oprávněn pověřit kontrolou provádění díla kromě zástupce pro věci t</w:t>
      </w:r>
      <w:r w:rsidR="0037722B">
        <w:rPr>
          <w:rFonts w:ascii="Arial" w:hAnsi="Arial" w:cs="Arial"/>
          <w:sz w:val="20"/>
        </w:rPr>
        <w:t>echnické také třetí strany – TDS</w:t>
      </w:r>
      <w:r w:rsidRPr="007F5BB4">
        <w:rPr>
          <w:rFonts w:ascii="Arial" w:hAnsi="Arial" w:cs="Arial"/>
          <w:sz w:val="20"/>
        </w:rPr>
        <w:t xml:space="preserve"> (technický dozor stavebníka) a zpracovatele projektové dokumentace za účelem autorského dozoru projektanta. Objednatel se současně zavazuje určit a jmenovat koordinátora bezpečnosti práce na </w:t>
      </w:r>
      <w:proofErr w:type="gramStart"/>
      <w:r w:rsidRPr="007F5BB4">
        <w:rPr>
          <w:rFonts w:ascii="Arial" w:hAnsi="Arial" w:cs="Arial"/>
          <w:sz w:val="20"/>
        </w:rPr>
        <w:t>staveništ</w:t>
      </w:r>
      <w:r w:rsidR="0037722B">
        <w:rPr>
          <w:rFonts w:ascii="Arial" w:hAnsi="Arial" w:cs="Arial"/>
          <w:sz w:val="20"/>
        </w:rPr>
        <w:t xml:space="preserve">i, </w:t>
      </w:r>
      <w:r w:rsidR="00B7566A" w:rsidRPr="007F5BB4">
        <w:rPr>
          <w:rFonts w:ascii="Arial" w:hAnsi="Arial" w:cs="Arial"/>
          <w:sz w:val="20"/>
        </w:rPr>
        <w:t xml:space="preserve"> pokud</w:t>
      </w:r>
      <w:proofErr w:type="gramEnd"/>
      <w:r w:rsidR="00B7566A" w:rsidRPr="007F5BB4">
        <w:rPr>
          <w:rFonts w:ascii="Arial" w:hAnsi="Arial" w:cs="Arial"/>
          <w:sz w:val="20"/>
        </w:rPr>
        <w:t xml:space="preserve">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sidRPr="00FB3F60">
        <w:rPr>
          <w:rFonts w:ascii="Arial" w:hAnsi="Arial" w:cs="Arial"/>
          <w:sz w:val="20"/>
          <w:highlight w:val="yellow"/>
        </w:rPr>
        <w:t>……………</w:t>
      </w:r>
      <w:proofErr w:type="gramStart"/>
      <w:r w:rsidRPr="00FB3F60">
        <w:rPr>
          <w:rFonts w:ascii="Arial" w:hAnsi="Arial" w:cs="Arial"/>
          <w:sz w:val="20"/>
          <w:highlight w:val="yellow"/>
        </w:rPr>
        <w:t>…..Kč</w:t>
      </w:r>
      <w:proofErr w:type="gramEnd"/>
    </w:p>
    <w:p w14:paraId="6280789F" w14:textId="4B3F509B" w:rsidR="0037722B" w:rsidRPr="00AD448B" w:rsidRDefault="0037722B" w:rsidP="007A1AD0">
      <w:pPr>
        <w:pStyle w:val="text"/>
        <w:tabs>
          <w:tab w:val="right" w:pos="6663"/>
        </w:tabs>
        <w:spacing w:before="0" w:line="240" w:lineRule="auto"/>
        <w:ind w:left="426"/>
        <w:rPr>
          <w:rFonts w:ascii="Arial" w:hAnsi="Arial" w:cs="Arial"/>
          <w:sz w:val="20"/>
        </w:rPr>
      </w:pPr>
      <w:proofErr w:type="gramStart"/>
      <w:r w:rsidRPr="00AD448B">
        <w:rPr>
          <w:rFonts w:ascii="Arial" w:hAnsi="Arial" w:cs="Arial"/>
          <w:sz w:val="20"/>
        </w:rPr>
        <w:t xml:space="preserve">DPH </w:t>
      </w:r>
      <w:r w:rsidR="00227DB3">
        <w:rPr>
          <w:rFonts w:ascii="Arial" w:hAnsi="Arial" w:cs="Arial"/>
          <w:sz w:val="20"/>
        </w:rPr>
        <w:t xml:space="preserve"> </w:t>
      </w:r>
      <w:r w:rsidR="004D32DB">
        <w:rPr>
          <w:rFonts w:ascii="Arial" w:hAnsi="Arial" w:cs="Arial"/>
          <w:sz w:val="20"/>
        </w:rPr>
        <w:t>21</w:t>
      </w:r>
      <w:proofErr w:type="gramEnd"/>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r w:rsidRPr="00FB3F60">
        <w:rPr>
          <w:rFonts w:ascii="Arial" w:hAnsi="Arial" w:cs="Arial"/>
          <w:sz w:val="20"/>
          <w:highlight w:val="yellow"/>
        </w:rPr>
        <w:t>………………..Kč</w:t>
      </w:r>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sidRPr="00FB3F60">
        <w:rPr>
          <w:rFonts w:ascii="Arial" w:hAnsi="Arial" w:cs="Arial"/>
          <w:b/>
          <w:sz w:val="20"/>
          <w:highlight w:val="yellow"/>
        </w:rPr>
        <w:t>…………</w:t>
      </w:r>
      <w:proofErr w:type="gramStart"/>
      <w:r w:rsidRPr="00FB3F60">
        <w:rPr>
          <w:rFonts w:ascii="Arial" w:hAnsi="Arial" w:cs="Arial"/>
          <w:b/>
          <w:sz w:val="20"/>
          <w:highlight w:val="yellow"/>
        </w:rPr>
        <w:t>…..</w:t>
      </w:r>
      <w:proofErr w:type="gramEnd"/>
      <w:r w:rsidRPr="00FB3F60">
        <w:rPr>
          <w:rFonts w:ascii="Arial" w:hAnsi="Arial" w:cs="Arial"/>
          <w:sz w:val="20"/>
          <w:highlight w:val="yellow"/>
        </w:rPr>
        <w:t xml:space="preserve"> </w:t>
      </w:r>
      <w:r w:rsidRPr="00FB3F60">
        <w:rPr>
          <w:rFonts w:ascii="Arial" w:hAnsi="Arial" w:cs="Arial"/>
          <w:b/>
          <w:sz w:val="20"/>
          <w:highlight w:val="yellow"/>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0"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0"/>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77777777" w:rsidR="00031B03" w:rsidRPr="00B42E8B"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lastRenderedPageBreak/>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poruší povinnost provádět dílo v souladu s časovým harmonogramem odsouhlaseným zhotovitelem (byl-li vyhotoven), zavazuje se zaplatit objednateli za každý případ takového por</w:t>
      </w:r>
      <w:r>
        <w:rPr>
          <w:rFonts w:ascii="Arial" w:hAnsi="Arial" w:cs="Arial"/>
          <w:sz w:val="20"/>
          <w:szCs w:val="20"/>
          <w:lang w:eastAsia="zh-CN"/>
        </w:rPr>
        <w:t>ušení smluvní pokutu ve výši 01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 xml:space="preserve">této smlouvy se </w:t>
      </w:r>
      <w:r w:rsidRPr="00AF5BAC">
        <w:rPr>
          <w:rFonts w:ascii="Arial" w:hAnsi="Arial" w:cs="Arial"/>
          <w:sz w:val="20"/>
          <w:szCs w:val="20"/>
          <w:lang w:eastAsia="zh-CN"/>
        </w:rPr>
        <w:lastRenderedPageBreak/>
        <w:t>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6CD1F497" w14:textId="5985255A" w:rsidR="002B3482" w:rsidRPr="00AF5BAC" w:rsidRDefault="002B3482" w:rsidP="005B29C1">
      <w:pPr>
        <w:rPr>
          <w:rFonts w:ascii="Arial" w:hAnsi="Arial" w:cs="Arial"/>
          <w:sz w:val="22"/>
        </w:rPr>
      </w:pPr>
    </w:p>
    <w:p w14:paraId="0D79F73F" w14:textId="6928E3D6" w:rsidR="006473E9" w:rsidRDefault="006473E9"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w:t>
      </w:r>
      <w:proofErr w:type="gramStart"/>
      <w:r w:rsidRPr="00AF4078">
        <w:rPr>
          <w:rFonts w:ascii="Arial" w:hAnsi="Arial" w:cs="Arial"/>
          <w:sz w:val="20"/>
          <w:szCs w:val="20"/>
          <w:lang w:eastAsia="zh-CN"/>
        </w:rPr>
        <w:t>prohlídce  nedostaví</w:t>
      </w:r>
      <w:proofErr w:type="gramEnd"/>
      <w:r w:rsidRPr="00AF4078">
        <w:rPr>
          <w:rFonts w:ascii="Arial" w:hAnsi="Arial" w:cs="Arial"/>
          <w:sz w:val="20"/>
          <w:szCs w:val="20"/>
          <w:lang w:eastAsia="zh-CN"/>
        </w:rPr>
        <w:t>,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 xml:space="preserve">Dílo bude splněno jeho celkovým předáním a převzetím, a to bez vad a </w:t>
      </w:r>
      <w:proofErr w:type="gramStart"/>
      <w:r w:rsidRPr="00AF4078">
        <w:rPr>
          <w:rFonts w:ascii="Arial" w:hAnsi="Arial" w:cs="Arial"/>
          <w:sz w:val="20"/>
        </w:rPr>
        <w:t>nedodělků</w:t>
      </w:r>
      <w:r w:rsidR="000720EB" w:rsidRPr="00AF4078">
        <w:rPr>
          <w:rFonts w:ascii="Arial" w:hAnsi="Arial" w:cs="Arial"/>
          <w:sz w:val="20"/>
        </w:rPr>
        <w:t xml:space="preserve"> </w:t>
      </w:r>
      <w:r w:rsidRPr="00AF4078">
        <w:rPr>
          <w:rFonts w:ascii="Arial" w:hAnsi="Arial" w:cs="Arial"/>
          <w:sz w:val="20"/>
        </w:rPr>
        <w:t xml:space="preserve"> v místě</w:t>
      </w:r>
      <w:proofErr w:type="gramEnd"/>
      <w:r w:rsidRPr="00AF4078">
        <w:rPr>
          <w:rFonts w:ascii="Arial" w:hAnsi="Arial" w:cs="Arial"/>
          <w:sz w:val="20"/>
        </w:rPr>
        <w:t xml:space="preserve">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7649B763" w14:textId="10C31A7C" w:rsidR="009E4562" w:rsidRDefault="009E4562" w:rsidP="007A1AD0">
      <w:pPr>
        <w:rPr>
          <w:rFonts w:ascii="Arial" w:hAnsi="Arial" w:cs="Arial"/>
          <w:sz w:val="22"/>
        </w:rPr>
      </w:pPr>
    </w:p>
    <w:p w14:paraId="27DBD041" w14:textId="77777777" w:rsidR="00D34206" w:rsidRDefault="00D34206" w:rsidP="007A1AD0">
      <w:pPr>
        <w:rPr>
          <w:rFonts w:ascii="Arial" w:hAnsi="Arial" w:cs="Arial"/>
          <w:sz w:val="22"/>
        </w:rPr>
      </w:pPr>
    </w:p>
    <w:p w14:paraId="1F4D0B27" w14:textId="77777777"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003B8724" w:rsidR="0040336C" w:rsidRDefault="0040336C"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1" w:name="_Hlk15839162"/>
      <w:r w:rsidRPr="007A1AD0">
        <w:rPr>
          <w:rFonts w:ascii="Arial" w:hAnsi="Arial" w:cs="Arial"/>
          <w:sz w:val="20"/>
        </w:rPr>
        <w:t>Zhotovitel nemá nárok na náhradu škody vzniklou v souvislosti s posunem termínů dle předchozí věty.</w:t>
      </w:r>
      <w:bookmarkEnd w:id="1"/>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lastRenderedPageBreak/>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2"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2"/>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7CDB4901" w14:textId="689E154A" w:rsidR="003374CD" w:rsidRDefault="003374CD" w:rsidP="002B3482">
      <w:pPr>
        <w:jc w:val="center"/>
        <w:rPr>
          <w:rFonts w:ascii="Arial" w:hAnsi="Arial" w:cs="Arial"/>
          <w:b/>
        </w:rPr>
      </w:pPr>
    </w:p>
    <w:p w14:paraId="13A3B2B1" w14:textId="5D230253" w:rsidR="00D34206" w:rsidRDefault="00D34206" w:rsidP="002B3482">
      <w:pPr>
        <w:jc w:val="center"/>
        <w:rPr>
          <w:rFonts w:ascii="Arial" w:hAnsi="Arial" w:cs="Arial"/>
          <w:b/>
        </w:rPr>
      </w:pPr>
    </w:p>
    <w:p w14:paraId="231D1F58" w14:textId="174C3ECA" w:rsidR="00D34206" w:rsidRDefault="00D34206" w:rsidP="002B3482">
      <w:pPr>
        <w:jc w:val="center"/>
        <w:rPr>
          <w:rFonts w:ascii="Arial" w:hAnsi="Arial" w:cs="Arial"/>
          <w:b/>
        </w:rPr>
      </w:pPr>
    </w:p>
    <w:p w14:paraId="63119795" w14:textId="77777777" w:rsidR="00D34206" w:rsidRDefault="00D34206"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odbornou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42AF3A2F" w14:textId="77777777" w:rsidR="00F62D31" w:rsidRPr="00E648FC" w:rsidRDefault="00F62D31" w:rsidP="00542EFE">
      <w:pPr>
        <w:rPr>
          <w:rFonts w:ascii="Arial" w:hAnsi="Arial" w:cs="Arial"/>
          <w:sz w:val="22"/>
        </w:rPr>
      </w:pPr>
    </w:p>
    <w:p w14:paraId="08206138" w14:textId="77777777" w:rsidR="00D34206" w:rsidRDefault="00D34206" w:rsidP="0040336C">
      <w:pPr>
        <w:jc w:val="cente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w:t>
      </w:r>
      <w:proofErr w:type="gramStart"/>
      <w:r w:rsidRPr="00E648FC">
        <w:rPr>
          <w:rFonts w:ascii="Arial" w:hAnsi="Arial" w:cs="Arial"/>
          <w:sz w:val="20"/>
        </w:rPr>
        <w:t>smluv) (dále</w:t>
      </w:r>
      <w:proofErr w:type="gramEnd"/>
      <w:r w:rsidRPr="00E648FC">
        <w:rPr>
          <w:rFonts w:ascii="Arial" w:hAnsi="Arial" w:cs="Arial"/>
          <w:sz w:val="20"/>
        </w:rPr>
        <w:t xml:space="preserv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7A9300F1"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74981895" w14:textId="77777777" w:rsidR="00D34206" w:rsidRPr="007A1AD0" w:rsidRDefault="00D34206" w:rsidP="00D34206">
      <w:pPr>
        <w:pStyle w:val="Smlouva-slo"/>
        <w:tabs>
          <w:tab w:val="left" w:pos="0"/>
        </w:tabs>
        <w:spacing w:before="0" w:line="240" w:lineRule="auto"/>
        <w:ind w:left="426"/>
        <w:rPr>
          <w:rFonts w:ascii="Arial" w:hAnsi="Arial" w:cs="Arial"/>
          <w:iCs/>
          <w:sz w:val="20"/>
        </w:rPr>
      </w:pPr>
    </w:p>
    <w:p w14:paraId="5E45B4D7" w14:textId="2FF72AC8" w:rsidR="00765986" w:rsidRDefault="00CA71B7" w:rsidP="008D6367">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 xml:space="preserve">Tato smlouva je vyhotovena ve třech stejnopisech, z nichž dvě vyhotovení obdrží objednatel </w:t>
      </w:r>
      <w:r w:rsidR="00A14960">
        <w:rPr>
          <w:rFonts w:ascii="Arial" w:hAnsi="Arial" w:cs="Arial"/>
          <w:sz w:val="20"/>
        </w:rPr>
        <w:br/>
      </w:r>
      <w:r w:rsidRPr="00E648FC">
        <w:rPr>
          <w:rFonts w:ascii="Arial" w:hAnsi="Arial" w:cs="Arial"/>
          <w:sz w:val="20"/>
        </w:rPr>
        <w:t>a jedno zhotovitel</w:t>
      </w:r>
      <w:r w:rsidR="00FB0F2D" w:rsidRPr="00E648FC">
        <w:rPr>
          <w:rFonts w:ascii="Arial" w:hAnsi="Arial" w:cs="Arial"/>
          <w:sz w:val="20"/>
        </w:rPr>
        <w:t>.</w:t>
      </w:r>
    </w:p>
    <w:p w14:paraId="3831140C" w14:textId="77777777" w:rsidR="008D6367" w:rsidRPr="008D6367" w:rsidRDefault="008D6367" w:rsidP="00D34206">
      <w:pPr>
        <w:pStyle w:val="Smlouva-slo"/>
        <w:widowControl w:val="0"/>
        <w:tabs>
          <w:tab w:val="left" w:pos="0"/>
        </w:tabs>
        <w:spacing w:before="0" w:line="240" w:lineRule="auto"/>
        <w:ind w:left="-11"/>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194F801" w14:textId="551DCCDF" w:rsidR="00542EFE" w:rsidRPr="00087B4F" w:rsidRDefault="00D14616" w:rsidP="00542EFE">
      <w:pPr>
        <w:rPr>
          <w:rFonts w:ascii="Arial" w:hAnsi="Arial" w:cs="Arial"/>
          <w:sz w:val="20"/>
          <w:szCs w:val="20"/>
        </w:rPr>
      </w:pPr>
      <w:r w:rsidRPr="00DC1178">
        <w:rPr>
          <w:rFonts w:ascii="Arial" w:hAnsi="Arial" w:cs="Arial"/>
          <w:sz w:val="20"/>
          <w:szCs w:val="20"/>
        </w:rPr>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B1448B">
        <w:rPr>
          <w:rFonts w:ascii="Arial" w:hAnsi="Arial" w:cs="Arial"/>
          <w:sz w:val="20"/>
          <w:szCs w:val="20"/>
        </w:rPr>
        <w:t>Výkaz výměr</w:t>
      </w:r>
      <w:r w:rsidR="00542EFE" w:rsidRPr="00087B4F">
        <w:rPr>
          <w:rFonts w:ascii="Arial" w:hAnsi="Arial" w:cs="Arial"/>
          <w:sz w:val="20"/>
          <w:szCs w:val="20"/>
        </w:rPr>
        <w:t xml:space="preserve">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51BE46FE"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E24D2D">
        <w:rPr>
          <w:rFonts w:ascii="Arial" w:hAnsi="Arial" w:cs="Arial"/>
          <w:iCs/>
          <w:sz w:val="20"/>
        </w:rPr>
        <w:t>6</w:t>
      </w:r>
      <w:bookmarkStart w:id="3" w:name="_GoBack"/>
      <w:bookmarkEnd w:id="3"/>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09E10210"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r w:rsidR="00FB3F60" w:rsidRPr="00FB3F60">
        <w:rPr>
          <w:rFonts w:ascii="Arial" w:hAnsi="Arial" w:cs="Arial"/>
          <w:sz w:val="20"/>
          <w:szCs w:val="20"/>
          <w:highlight w:val="yellow"/>
        </w:rPr>
        <w:t>jednatelem</w:t>
      </w:r>
    </w:p>
    <w:sectPr w:rsidR="00B66083" w:rsidRPr="001C1EC8" w:rsidSect="002477D1">
      <w:headerReference w:type="default" r:id="rId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6E228028" w:rsidR="00806669" w:rsidRDefault="00806669">
    <w:pPr>
      <w:pStyle w:val="Zhlav"/>
    </w:pPr>
    <w:r>
      <w:tab/>
    </w:r>
    <w:r w:rsidR="006D4D86">
      <w:fldChar w:fldCharType="begin"/>
    </w:r>
    <w:r w:rsidR="006D4D86">
      <w:instrText xml:space="preserve"> PAGE </w:instrText>
    </w:r>
    <w:r w:rsidR="006D4D86">
      <w:fldChar w:fldCharType="separate"/>
    </w:r>
    <w:r w:rsidR="00E24D2D">
      <w:rPr>
        <w:noProof/>
      </w:rPr>
      <w:t>7</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E0291"/>
    <w:multiLevelType w:val="hybridMultilevel"/>
    <w:tmpl w:val="64CEA3AA"/>
    <w:lvl w:ilvl="0" w:tplc="185E42F4">
      <w:start w:val="1"/>
      <w:numFmt w:val="decimal"/>
      <w:lvlText w:val="%1)"/>
      <w:lvlJc w:val="left"/>
      <w:pPr>
        <w:ind w:left="6761" w:hanging="360"/>
      </w:pPr>
      <w:rPr>
        <w:rFonts w:hint="default"/>
        <w:sz w:val="20"/>
        <w:szCs w:val="20"/>
      </w:rPr>
    </w:lvl>
    <w:lvl w:ilvl="1" w:tplc="04050019" w:tentative="1">
      <w:start w:val="1"/>
      <w:numFmt w:val="lowerLetter"/>
      <w:lvlText w:val="%2."/>
      <w:lvlJc w:val="left"/>
      <w:pPr>
        <w:ind w:left="2312" w:hanging="360"/>
      </w:pPr>
    </w:lvl>
    <w:lvl w:ilvl="2" w:tplc="0405001B" w:tentative="1">
      <w:start w:val="1"/>
      <w:numFmt w:val="lowerRoman"/>
      <w:lvlText w:val="%3."/>
      <w:lvlJc w:val="right"/>
      <w:pPr>
        <w:ind w:left="3032" w:hanging="180"/>
      </w:pPr>
    </w:lvl>
    <w:lvl w:ilvl="3" w:tplc="0405000F" w:tentative="1">
      <w:start w:val="1"/>
      <w:numFmt w:val="decimal"/>
      <w:lvlText w:val="%4."/>
      <w:lvlJc w:val="left"/>
      <w:pPr>
        <w:ind w:left="3752" w:hanging="360"/>
      </w:pPr>
    </w:lvl>
    <w:lvl w:ilvl="4" w:tplc="04050019" w:tentative="1">
      <w:start w:val="1"/>
      <w:numFmt w:val="lowerLetter"/>
      <w:lvlText w:val="%5."/>
      <w:lvlJc w:val="left"/>
      <w:pPr>
        <w:ind w:left="4472" w:hanging="360"/>
      </w:pPr>
    </w:lvl>
    <w:lvl w:ilvl="5" w:tplc="0405001B" w:tentative="1">
      <w:start w:val="1"/>
      <w:numFmt w:val="lowerRoman"/>
      <w:lvlText w:val="%6."/>
      <w:lvlJc w:val="right"/>
      <w:pPr>
        <w:ind w:left="5192" w:hanging="180"/>
      </w:pPr>
    </w:lvl>
    <w:lvl w:ilvl="6" w:tplc="0405000F" w:tentative="1">
      <w:start w:val="1"/>
      <w:numFmt w:val="decimal"/>
      <w:lvlText w:val="%7."/>
      <w:lvlJc w:val="left"/>
      <w:pPr>
        <w:ind w:left="5912" w:hanging="360"/>
      </w:pPr>
    </w:lvl>
    <w:lvl w:ilvl="7" w:tplc="04050019" w:tentative="1">
      <w:start w:val="1"/>
      <w:numFmt w:val="lowerLetter"/>
      <w:lvlText w:val="%8."/>
      <w:lvlJc w:val="left"/>
      <w:pPr>
        <w:ind w:left="6632" w:hanging="360"/>
      </w:pPr>
    </w:lvl>
    <w:lvl w:ilvl="8" w:tplc="0405001B" w:tentative="1">
      <w:start w:val="1"/>
      <w:numFmt w:val="lowerRoman"/>
      <w:lvlText w:val="%9."/>
      <w:lvlJc w:val="right"/>
      <w:pPr>
        <w:ind w:left="7352" w:hanging="180"/>
      </w:pPr>
    </w:lvl>
  </w:abstractNum>
  <w:abstractNum w:abstractNumId="8"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3EF6F00E"/>
    <w:lvl w:ilvl="0" w:tplc="D3FAAA2C">
      <w:start w:val="1"/>
      <w:numFmt w:val="decimal"/>
      <w:lvlText w:val="%1)"/>
      <w:lvlJc w:val="left"/>
      <w:pPr>
        <w:ind w:left="1211"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6"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8F75266"/>
    <w:multiLevelType w:val="singleLevel"/>
    <w:tmpl w:val="04050011"/>
    <w:lvl w:ilvl="0">
      <w:start w:val="1"/>
      <w:numFmt w:val="decimal"/>
      <w:lvlText w:val="%1)"/>
      <w:lvlJc w:val="left"/>
      <w:pPr>
        <w:ind w:left="720" w:hanging="360"/>
      </w:pPr>
    </w:lvl>
  </w:abstractNum>
  <w:abstractNum w:abstractNumId="18"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5"/>
  </w:num>
  <w:num w:numId="2">
    <w:abstractNumId w:val="10"/>
  </w:num>
  <w:num w:numId="3">
    <w:abstractNumId w:val="27"/>
  </w:num>
  <w:num w:numId="4">
    <w:abstractNumId w:val="6"/>
  </w:num>
  <w:num w:numId="5">
    <w:abstractNumId w:val="12"/>
  </w:num>
  <w:num w:numId="6">
    <w:abstractNumId w:val="0"/>
  </w:num>
  <w:num w:numId="7">
    <w:abstractNumId w:val="3"/>
  </w:num>
  <w:num w:numId="8">
    <w:abstractNumId w:val="20"/>
  </w:num>
  <w:num w:numId="9">
    <w:abstractNumId w:val="4"/>
  </w:num>
  <w:num w:numId="10">
    <w:abstractNumId w:val="16"/>
  </w:num>
  <w:num w:numId="11">
    <w:abstractNumId w:val="13"/>
  </w:num>
  <w:num w:numId="12">
    <w:abstractNumId w:val="18"/>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21"/>
  </w:num>
  <w:num w:numId="18">
    <w:abstractNumId w:val="24"/>
  </w:num>
  <w:num w:numId="19">
    <w:abstractNumId w:val="19"/>
  </w:num>
  <w:num w:numId="20">
    <w:abstractNumId w:val="22"/>
  </w:num>
  <w:num w:numId="21">
    <w:abstractNumId w:val="26"/>
  </w:num>
  <w:num w:numId="22">
    <w:abstractNumId w:val="2"/>
  </w:num>
  <w:num w:numId="23">
    <w:abstractNumId w:val="17"/>
    <w:lvlOverride w:ilvl="0">
      <w:startOverride w:val="1"/>
    </w:lvlOverride>
  </w:num>
  <w:num w:numId="24">
    <w:abstractNumId w:val="17"/>
  </w:num>
  <w:num w:numId="25">
    <w:abstractNumId w:val="15"/>
  </w:num>
  <w:num w:numId="26">
    <w:abstractNumId w:val="23"/>
  </w:num>
  <w:num w:numId="27">
    <w:abstractNumId w:val="1"/>
  </w:num>
  <w:num w:numId="28">
    <w:abstractNumId w:val="7"/>
  </w:num>
  <w:num w:numId="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70C9"/>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35505"/>
    <w:rsid w:val="001444B3"/>
    <w:rsid w:val="00153CAA"/>
    <w:rsid w:val="0015620E"/>
    <w:rsid w:val="00156C30"/>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734E"/>
    <w:rsid w:val="00227DB3"/>
    <w:rsid w:val="00242BA8"/>
    <w:rsid w:val="0024485F"/>
    <w:rsid w:val="002477D1"/>
    <w:rsid w:val="00274EFC"/>
    <w:rsid w:val="00280FE5"/>
    <w:rsid w:val="00282D47"/>
    <w:rsid w:val="002B1F34"/>
    <w:rsid w:val="002B3482"/>
    <w:rsid w:val="002B4DD5"/>
    <w:rsid w:val="002D3E1F"/>
    <w:rsid w:val="002D4C99"/>
    <w:rsid w:val="002E242D"/>
    <w:rsid w:val="002F36EC"/>
    <w:rsid w:val="002F75E3"/>
    <w:rsid w:val="00301F52"/>
    <w:rsid w:val="00302E7C"/>
    <w:rsid w:val="00320B8A"/>
    <w:rsid w:val="00327056"/>
    <w:rsid w:val="003374CD"/>
    <w:rsid w:val="00345DD4"/>
    <w:rsid w:val="003477FF"/>
    <w:rsid w:val="00355128"/>
    <w:rsid w:val="00355F07"/>
    <w:rsid w:val="00367F15"/>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B76F9"/>
    <w:rsid w:val="004D012A"/>
    <w:rsid w:val="004D0874"/>
    <w:rsid w:val="004D32DB"/>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AD5"/>
    <w:rsid w:val="00632BD5"/>
    <w:rsid w:val="00635D3F"/>
    <w:rsid w:val="006401FC"/>
    <w:rsid w:val="0064360C"/>
    <w:rsid w:val="006436FB"/>
    <w:rsid w:val="00646E33"/>
    <w:rsid w:val="006473E9"/>
    <w:rsid w:val="0065169B"/>
    <w:rsid w:val="0065333F"/>
    <w:rsid w:val="00671BC0"/>
    <w:rsid w:val="00674253"/>
    <w:rsid w:val="0068143C"/>
    <w:rsid w:val="0069077D"/>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C1958"/>
    <w:rsid w:val="008D20F6"/>
    <w:rsid w:val="008D46F3"/>
    <w:rsid w:val="008D6367"/>
    <w:rsid w:val="008F00CF"/>
    <w:rsid w:val="008F0219"/>
    <w:rsid w:val="008F07B3"/>
    <w:rsid w:val="0090744C"/>
    <w:rsid w:val="00913FB0"/>
    <w:rsid w:val="009214E2"/>
    <w:rsid w:val="00922B3E"/>
    <w:rsid w:val="00934186"/>
    <w:rsid w:val="009342FC"/>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E5E75"/>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448B"/>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0A69"/>
    <w:rsid w:val="00C14338"/>
    <w:rsid w:val="00C26751"/>
    <w:rsid w:val="00C41BAB"/>
    <w:rsid w:val="00C45D1F"/>
    <w:rsid w:val="00C6480C"/>
    <w:rsid w:val="00C6509C"/>
    <w:rsid w:val="00C73ECF"/>
    <w:rsid w:val="00C90553"/>
    <w:rsid w:val="00C96917"/>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17B02"/>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3AF2"/>
    <w:rsid w:val="00DB50B6"/>
    <w:rsid w:val="00DB57FD"/>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24D2D"/>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121A"/>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81CD1"/>
    <w:rsid w:val="00F87686"/>
    <w:rsid w:val="00F917DE"/>
    <w:rsid w:val="00FA24BB"/>
    <w:rsid w:val="00FB00A4"/>
    <w:rsid w:val="00FB0F2D"/>
    <w:rsid w:val="00FB3F60"/>
    <w:rsid w:val="00FB7AA0"/>
    <w:rsid w:val="00FC5643"/>
    <w:rsid w:val="00FD0116"/>
    <w:rsid w:val="00FD0867"/>
    <w:rsid w:val="00FD13E8"/>
    <w:rsid w:val="00FD421D"/>
    <w:rsid w:val="00FD4579"/>
    <w:rsid w:val="00FD7316"/>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9AB8B-EEE8-4685-9E76-8E17B510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4213</Words>
  <Characters>24707</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Holubová Ivana</cp:lastModifiedBy>
  <cp:revision>15</cp:revision>
  <cp:lastPrinted>2026-01-27T06:50:00Z</cp:lastPrinted>
  <dcterms:created xsi:type="dcterms:W3CDTF">2026-01-22T09:39:00Z</dcterms:created>
  <dcterms:modified xsi:type="dcterms:W3CDTF">2026-02-04T07:57:00Z</dcterms:modified>
</cp:coreProperties>
</file>