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38DF0" w14:textId="77777777" w:rsidR="000136BD" w:rsidRDefault="000136BD" w:rsidP="00A421BE">
      <w:pPr>
        <w:jc w:val="center"/>
        <w:rPr>
          <w:rFonts w:cs="Arial"/>
          <w:b/>
          <w:caps/>
          <w:sz w:val="24"/>
        </w:rPr>
      </w:pPr>
    </w:p>
    <w:p w14:paraId="46B73265" w14:textId="77777777" w:rsidR="000136BD" w:rsidRDefault="000136BD" w:rsidP="00A421BE">
      <w:pPr>
        <w:jc w:val="center"/>
        <w:rPr>
          <w:rFonts w:cs="Arial"/>
          <w:b/>
          <w:caps/>
          <w:sz w:val="24"/>
        </w:rPr>
      </w:pPr>
    </w:p>
    <w:p w14:paraId="2D8B5711" w14:textId="77777777" w:rsidR="000136BD" w:rsidRDefault="000136BD" w:rsidP="00A421BE">
      <w:pPr>
        <w:jc w:val="center"/>
        <w:rPr>
          <w:rFonts w:cs="Arial"/>
          <w:b/>
          <w:caps/>
          <w:sz w:val="24"/>
        </w:rPr>
      </w:pPr>
    </w:p>
    <w:p w14:paraId="3F1BF9C9" w14:textId="77777777" w:rsidR="000136BD" w:rsidRDefault="000136BD" w:rsidP="00A421BE">
      <w:pPr>
        <w:jc w:val="center"/>
        <w:rPr>
          <w:rFonts w:cs="Arial"/>
          <w:b/>
          <w:caps/>
          <w:sz w:val="24"/>
        </w:rPr>
      </w:pPr>
    </w:p>
    <w:p w14:paraId="24A6955B" w14:textId="6E6DA7E0" w:rsidR="00A421BE" w:rsidRPr="003807FE" w:rsidRDefault="003807FE" w:rsidP="00A421BE">
      <w:pPr>
        <w:jc w:val="center"/>
        <w:rPr>
          <w:rFonts w:cs="Arial"/>
          <w:b/>
          <w:sz w:val="32"/>
          <w:szCs w:val="24"/>
        </w:rPr>
      </w:pPr>
      <w:r w:rsidRPr="003807FE">
        <w:rPr>
          <w:rFonts w:cs="Arial"/>
          <w:b/>
          <w:sz w:val="32"/>
          <w:szCs w:val="24"/>
        </w:rPr>
        <w:t>VÝZVA K PODÁNÍ NABÍDKY</w:t>
      </w:r>
    </w:p>
    <w:p w14:paraId="6267F6FB" w14:textId="403E6700" w:rsidR="004321FD" w:rsidRDefault="004321FD" w:rsidP="00A421BE">
      <w:pPr>
        <w:jc w:val="center"/>
        <w:rPr>
          <w:rFonts w:cs="Arial"/>
          <w:szCs w:val="20"/>
        </w:rPr>
      </w:pPr>
      <w:r>
        <w:rPr>
          <w:rFonts w:cs="Arial"/>
          <w:szCs w:val="20"/>
        </w:rPr>
        <w:t>na veřejnou zakázku malého rozsahu</w:t>
      </w:r>
    </w:p>
    <w:p w14:paraId="164F5F00" w14:textId="77777777" w:rsidR="00A421BE" w:rsidRDefault="00A421BE" w:rsidP="00A421BE">
      <w:pPr>
        <w:rPr>
          <w:rFonts w:cs="Arial"/>
        </w:rPr>
      </w:pPr>
    </w:p>
    <w:p w14:paraId="7DFC3C2B" w14:textId="77777777" w:rsidR="00A421BE" w:rsidRPr="004167D0" w:rsidRDefault="00A421BE" w:rsidP="00A421BE">
      <w:pPr>
        <w:rPr>
          <w:rFonts w:cs="Arial"/>
        </w:rPr>
      </w:pPr>
    </w:p>
    <w:p w14:paraId="509D2E2A" w14:textId="77777777" w:rsidR="00A421BE" w:rsidRPr="004167D0" w:rsidRDefault="00A421BE" w:rsidP="00A421BE">
      <w:pPr>
        <w:jc w:val="center"/>
        <w:rPr>
          <w:rFonts w:cs="Arial"/>
          <w:b/>
          <w:sz w:val="32"/>
          <w:szCs w:val="24"/>
        </w:rPr>
      </w:pPr>
      <w:r w:rsidRPr="004167D0">
        <w:rPr>
          <w:rFonts w:cs="Arial"/>
          <w:b/>
          <w:sz w:val="32"/>
          <w:szCs w:val="24"/>
        </w:rPr>
        <w:t xml:space="preserve">MĚSTO </w:t>
      </w:r>
      <w:r>
        <w:rPr>
          <w:rFonts w:cs="Arial"/>
          <w:b/>
          <w:sz w:val="32"/>
          <w:szCs w:val="24"/>
        </w:rPr>
        <w:t>KOLÍN</w:t>
      </w:r>
    </w:p>
    <w:p w14:paraId="3900D481" w14:textId="77777777" w:rsidR="00A421BE" w:rsidRPr="004167D0" w:rsidRDefault="00A421BE" w:rsidP="00A421BE">
      <w:pPr>
        <w:jc w:val="center"/>
        <w:rPr>
          <w:rFonts w:cs="Arial"/>
          <w:b/>
          <w:sz w:val="24"/>
          <w:szCs w:val="24"/>
        </w:rPr>
      </w:pPr>
    </w:p>
    <w:p w14:paraId="6FE52B22" w14:textId="77777777" w:rsidR="00A421BE" w:rsidRPr="004167D0" w:rsidRDefault="00A421BE" w:rsidP="00A421BE">
      <w:pPr>
        <w:jc w:val="center"/>
        <w:rPr>
          <w:rFonts w:cs="Arial"/>
          <w:b/>
          <w:sz w:val="24"/>
          <w:szCs w:val="24"/>
        </w:rPr>
      </w:pPr>
    </w:p>
    <w:p w14:paraId="3DBC7952" w14:textId="77777777" w:rsidR="00A421BE" w:rsidRPr="004167D0" w:rsidRDefault="00A421BE" w:rsidP="00A421BE">
      <w:pPr>
        <w:jc w:val="center"/>
        <w:rPr>
          <w:rFonts w:cs="Arial"/>
          <w:b/>
          <w:sz w:val="24"/>
          <w:szCs w:val="24"/>
        </w:rPr>
      </w:pPr>
    </w:p>
    <w:p w14:paraId="6314004C" w14:textId="509F3C26" w:rsidR="00A421BE" w:rsidRPr="004167D0" w:rsidRDefault="009A3EAC" w:rsidP="00A421BE">
      <w:pPr>
        <w:jc w:val="center"/>
        <w:rPr>
          <w:rFonts w:cs="Arial"/>
          <w:b/>
          <w:sz w:val="24"/>
          <w:szCs w:val="24"/>
        </w:rPr>
      </w:pPr>
      <w:r>
        <w:rPr>
          <w:rFonts w:cs="Arial"/>
          <w:b/>
          <w:sz w:val="24"/>
          <w:szCs w:val="24"/>
        </w:rPr>
        <w:t>Webová prezentace města Kolína</w:t>
      </w:r>
      <w:r w:rsidR="002A20FC">
        <w:rPr>
          <w:rFonts w:cs="Arial"/>
          <w:b/>
          <w:sz w:val="24"/>
          <w:szCs w:val="24"/>
        </w:rPr>
        <w:t xml:space="preserve"> II</w:t>
      </w:r>
    </w:p>
    <w:p w14:paraId="115C5A99" w14:textId="77777777" w:rsidR="00A421BE" w:rsidRPr="0033092E" w:rsidRDefault="00A421BE" w:rsidP="00A421BE">
      <w:pPr>
        <w:jc w:val="center"/>
        <w:rPr>
          <w:rFonts w:cs="Arial"/>
          <w:szCs w:val="20"/>
        </w:rPr>
      </w:pPr>
      <w:r w:rsidRPr="0033092E">
        <w:rPr>
          <w:rFonts w:cs="Arial"/>
          <w:szCs w:val="20"/>
        </w:rPr>
        <w:t>(dále jen „veřejná zakázka“)</w:t>
      </w:r>
    </w:p>
    <w:p w14:paraId="1F0C6425" w14:textId="77777777" w:rsidR="00A421BE" w:rsidRDefault="00A421BE" w:rsidP="00A421BE">
      <w:pPr>
        <w:jc w:val="center"/>
        <w:rPr>
          <w:rFonts w:cs="Arial"/>
          <w:szCs w:val="20"/>
        </w:rPr>
      </w:pPr>
    </w:p>
    <w:p w14:paraId="3502407F" w14:textId="3A70B647" w:rsidR="004321FD" w:rsidRPr="004321FD" w:rsidRDefault="004321FD" w:rsidP="004321FD">
      <w:pPr>
        <w:jc w:val="center"/>
        <w:rPr>
          <w:rFonts w:cs="Arial"/>
          <w:szCs w:val="20"/>
        </w:rPr>
      </w:pPr>
      <w:r w:rsidRPr="004321FD">
        <w:rPr>
          <w:rFonts w:cs="Arial"/>
          <w:szCs w:val="20"/>
        </w:rPr>
        <w:t xml:space="preserve">která je </w:t>
      </w:r>
      <w:r w:rsidR="008F132E">
        <w:rPr>
          <w:rFonts w:cs="Arial"/>
          <w:szCs w:val="20"/>
        </w:rPr>
        <w:t>zadávána</w:t>
      </w:r>
      <w:r w:rsidRPr="004321FD">
        <w:rPr>
          <w:rFonts w:cs="Arial"/>
          <w:szCs w:val="20"/>
        </w:rPr>
        <w:t xml:space="preserve"> ve smyslu ust. § 27 zákona č. 134/2016 Sb., o zadávání veřejných zakázek, ve</w:t>
      </w:r>
      <w:r w:rsidR="00E27A85">
        <w:rPr>
          <w:rFonts w:cs="Arial"/>
          <w:szCs w:val="20"/>
        </w:rPr>
        <w:t> </w:t>
      </w:r>
      <w:r w:rsidRPr="004321FD">
        <w:rPr>
          <w:rFonts w:cs="Arial"/>
          <w:szCs w:val="20"/>
        </w:rPr>
        <w:t>znění pozdějších předpisů, dále jen „ZZVZ“, na kterou se vztahuje výjimka dle § 31 ZZVZ</w:t>
      </w:r>
    </w:p>
    <w:p w14:paraId="7213AC9E" w14:textId="77777777" w:rsidR="00A421BE" w:rsidRPr="004167D0" w:rsidRDefault="00A421BE" w:rsidP="00420AFE">
      <w:pPr>
        <w:rPr>
          <w:rFonts w:cs="Arial"/>
          <w:b/>
          <w:sz w:val="24"/>
          <w:szCs w:val="24"/>
        </w:rPr>
      </w:pPr>
    </w:p>
    <w:p w14:paraId="77D20B7A" w14:textId="77777777" w:rsidR="00A421BE" w:rsidRDefault="00A421BE" w:rsidP="00A421BE">
      <w:pPr>
        <w:spacing w:before="0" w:after="200" w:line="276" w:lineRule="auto"/>
        <w:jc w:val="left"/>
        <w:rPr>
          <w:rFonts w:eastAsia="Times New Roman" w:cs="Arial"/>
          <w:b/>
          <w:bCs/>
          <w:kern w:val="32"/>
          <w:sz w:val="28"/>
          <w:szCs w:val="32"/>
          <w:lang w:eastAsia="cs-CZ"/>
        </w:rPr>
      </w:pPr>
      <w:bookmarkStart w:id="0" w:name="_Toc480822053"/>
      <w:bookmarkStart w:id="1" w:name="_Toc480888626"/>
      <w:bookmarkStart w:id="2" w:name="_Toc496085684"/>
      <w:bookmarkStart w:id="3" w:name="_Toc496085756"/>
      <w:bookmarkStart w:id="4" w:name="_Toc496124610"/>
      <w:r>
        <w:rPr>
          <w:rFonts w:cs="Arial"/>
        </w:rPr>
        <w:br w:type="page"/>
      </w:r>
    </w:p>
    <w:p w14:paraId="500F3EAE" w14:textId="77777777" w:rsidR="00A421BE" w:rsidRPr="0033092E" w:rsidRDefault="00A421BE" w:rsidP="00A421BE">
      <w:pPr>
        <w:spacing w:after="60"/>
        <w:rPr>
          <w:rFonts w:cs="Arial"/>
          <w:b/>
        </w:rPr>
      </w:pPr>
      <w:bookmarkStart w:id="5" w:name="_Toc475699943"/>
      <w:bookmarkStart w:id="6" w:name="_Toc496085685"/>
      <w:bookmarkStart w:id="7" w:name="_Toc514100955"/>
      <w:bookmarkEnd w:id="0"/>
      <w:bookmarkEnd w:id="1"/>
      <w:bookmarkEnd w:id="2"/>
      <w:bookmarkEnd w:id="3"/>
      <w:bookmarkEnd w:id="4"/>
      <w:r w:rsidRPr="0033092E">
        <w:rPr>
          <w:rFonts w:cs="Arial"/>
          <w:b/>
        </w:rPr>
        <w:lastRenderedPageBreak/>
        <w:t>Identifikační údaje veřejné zakázky:</w:t>
      </w:r>
    </w:p>
    <w:tbl>
      <w:tblPr>
        <w:tblStyle w:val="Mkatabulky"/>
        <w:tblW w:w="0" w:type="auto"/>
        <w:tblLook w:val="04A0" w:firstRow="1" w:lastRow="0" w:firstColumn="1" w:lastColumn="0" w:noHBand="0" w:noVBand="1"/>
      </w:tblPr>
      <w:tblGrid>
        <w:gridCol w:w="3823"/>
        <w:gridCol w:w="5239"/>
      </w:tblGrid>
      <w:tr w:rsidR="00A421BE" w:rsidRPr="0033092E" w14:paraId="7AE5C32E" w14:textId="77777777" w:rsidTr="00FC3418">
        <w:tc>
          <w:tcPr>
            <w:tcW w:w="3823" w:type="dxa"/>
          </w:tcPr>
          <w:p w14:paraId="73E480AF" w14:textId="77777777" w:rsidR="00A421BE" w:rsidRPr="006C7AE1" w:rsidRDefault="00A421BE" w:rsidP="00FC3418">
            <w:pPr>
              <w:spacing w:before="60" w:after="60"/>
              <w:rPr>
                <w:rFonts w:cs="Arial"/>
              </w:rPr>
            </w:pPr>
            <w:r w:rsidRPr="006C7AE1">
              <w:rPr>
                <w:rFonts w:cs="Arial"/>
              </w:rPr>
              <w:t>Název veřejné zakázky</w:t>
            </w:r>
          </w:p>
        </w:tc>
        <w:tc>
          <w:tcPr>
            <w:tcW w:w="5239" w:type="dxa"/>
          </w:tcPr>
          <w:p w14:paraId="2029B3DC" w14:textId="267874FB" w:rsidR="00A421BE" w:rsidRPr="0033092E" w:rsidRDefault="009A3EAC" w:rsidP="00FC3418">
            <w:pPr>
              <w:spacing w:before="60" w:after="60"/>
              <w:rPr>
                <w:rFonts w:cs="Arial"/>
              </w:rPr>
            </w:pPr>
            <w:r>
              <w:rPr>
                <w:rFonts w:cs="Arial"/>
                <w:b/>
                <w:szCs w:val="20"/>
              </w:rPr>
              <w:t>Webová prezentace města Kolína</w:t>
            </w:r>
          </w:p>
        </w:tc>
      </w:tr>
      <w:tr w:rsidR="00A421BE" w:rsidRPr="0033092E" w14:paraId="64E754C0" w14:textId="77777777" w:rsidTr="00FC3418">
        <w:tc>
          <w:tcPr>
            <w:tcW w:w="3823" w:type="dxa"/>
          </w:tcPr>
          <w:p w14:paraId="5B7DA7C2" w14:textId="77777777" w:rsidR="00A421BE" w:rsidRPr="0033092E" w:rsidRDefault="00A421BE" w:rsidP="00FC3418">
            <w:pPr>
              <w:spacing w:before="60" w:after="60"/>
              <w:rPr>
                <w:rFonts w:cs="Arial"/>
              </w:rPr>
            </w:pPr>
            <w:r w:rsidRPr="0033092E">
              <w:rPr>
                <w:rFonts w:cs="Arial"/>
              </w:rPr>
              <w:t>Předmět veřejné zakázky</w:t>
            </w:r>
          </w:p>
        </w:tc>
        <w:tc>
          <w:tcPr>
            <w:tcW w:w="5239" w:type="dxa"/>
          </w:tcPr>
          <w:p w14:paraId="7E99949D" w14:textId="7DF60318" w:rsidR="00A421BE" w:rsidRPr="0033092E" w:rsidRDefault="003807FE" w:rsidP="00FC3418">
            <w:pPr>
              <w:spacing w:before="60" w:after="60"/>
              <w:rPr>
                <w:rFonts w:cs="Arial"/>
              </w:rPr>
            </w:pPr>
            <w:r>
              <w:rPr>
                <w:rFonts w:cs="Arial"/>
              </w:rPr>
              <w:t>Služby</w:t>
            </w:r>
          </w:p>
        </w:tc>
      </w:tr>
      <w:tr w:rsidR="00A421BE" w:rsidRPr="0033092E" w14:paraId="6028F953" w14:textId="0088CEB6" w:rsidTr="00FC3418">
        <w:tc>
          <w:tcPr>
            <w:tcW w:w="3823" w:type="dxa"/>
          </w:tcPr>
          <w:p w14:paraId="19AB448F" w14:textId="4D38E5CD" w:rsidR="00A421BE" w:rsidRPr="0033092E" w:rsidRDefault="00A421BE" w:rsidP="00FC3418">
            <w:pPr>
              <w:spacing w:before="60" w:after="60"/>
              <w:rPr>
                <w:rFonts w:cs="Arial"/>
              </w:rPr>
            </w:pPr>
            <w:r w:rsidRPr="0033092E">
              <w:rPr>
                <w:rFonts w:cs="Arial"/>
              </w:rPr>
              <w:t>Druh zadávacího řízení</w:t>
            </w:r>
          </w:p>
        </w:tc>
        <w:tc>
          <w:tcPr>
            <w:tcW w:w="5239" w:type="dxa"/>
          </w:tcPr>
          <w:p w14:paraId="5A71F09F" w14:textId="56C412D1" w:rsidR="00A421BE" w:rsidRPr="0033092E" w:rsidRDefault="00A421BE" w:rsidP="00FC3418">
            <w:pPr>
              <w:spacing w:before="60" w:after="60"/>
              <w:rPr>
                <w:rFonts w:cs="Arial"/>
              </w:rPr>
            </w:pPr>
            <w:r w:rsidRPr="0033092E">
              <w:rPr>
                <w:rFonts w:cs="Arial"/>
              </w:rPr>
              <w:t>Otevřené řízení</w:t>
            </w:r>
          </w:p>
        </w:tc>
      </w:tr>
      <w:tr w:rsidR="00A421BE" w:rsidRPr="0033092E" w14:paraId="4653CAA2" w14:textId="77777777" w:rsidTr="00FC3418">
        <w:tc>
          <w:tcPr>
            <w:tcW w:w="3823" w:type="dxa"/>
          </w:tcPr>
          <w:p w14:paraId="1EF1BEC5" w14:textId="77777777" w:rsidR="00A421BE" w:rsidRPr="0033092E" w:rsidRDefault="00A421BE" w:rsidP="00FC3418">
            <w:pPr>
              <w:spacing w:before="60" w:after="60"/>
              <w:rPr>
                <w:rFonts w:cs="Arial"/>
              </w:rPr>
            </w:pPr>
            <w:r w:rsidRPr="0033092E">
              <w:rPr>
                <w:rFonts w:cs="Arial"/>
              </w:rPr>
              <w:t>Režim veřejné zakázky</w:t>
            </w:r>
          </w:p>
        </w:tc>
        <w:tc>
          <w:tcPr>
            <w:tcW w:w="5239" w:type="dxa"/>
          </w:tcPr>
          <w:p w14:paraId="3B304855" w14:textId="6FFC5AC8" w:rsidR="00A421BE" w:rsidRPr="0033092E" w:rsidRDefault="004321FD" w:rsidP="00FC3418">
            <w:pPr>
              <w:spacing w:before="60" w:after="60"/>
              <w:rPr>
                <w:rFonts w:cs="Arial"/>
                <w:highlight w:val="yellow"/>
              </w:rPr>
            </w:pPr>
            <w:r>
              <w:rPr>
                <w:rFonts w:cs="Arial"/>
              </w:rPr>
              <w:t>Veřejná zakázky malého rozsahu</w:t>
            </w:r>
          </w:p>
        </w:tc>
      </w:tr>
      <w:tr w:rsidR="00A421BE" w:rsidRPr="0033092E" w14:paraId="00DD8570" w14:textId="77777777" w:rsidTr="00FC3418">
        <w:tc>
          <w:tcPr>
            <w:tcW w:w="3823" w:type="dxa"/>
          </w:tcPr>
          <w:p w14:paraId="179175F5" w14:textId="77777777" w:rsidR="00A421BE" w:rsidRPr="0033092E" w:rsidRDefault="00A421BE" w:rsidP="00FC3418">
            <w:pPr>
              <w:spacing w:before="60" w:after="60"/>
              <w:rPr>
                <w:rFonts w:cs="Arial"/>
              </w:rPr>
            </w:pPr>
            <w:r w:rsidRPr="0033092E">
              <w:rPr>
                <w:rFonts w:cs="Arial"/>
              </w:rPr>
              <w:t>Lhůta pro podání nabídek</w:t>
            </w:r>
          </w:p>
        </w:tc>
        <w:tc>
          <w:tcPr>
            <w:tcW w:w="5239" w:type="dxa"/>
          </w:tcPr>
          <w:p w14:paraId="4266E7F5" w14:textId="09B008A8" w:rsidR="00A421BE" w:rsidRPr="00AB0A83" w:rsidRDefault="004C1C4F" w:rsidP="00FC3418">
            <w:pPr>
              <w:spacing w:before="60" w:after="60"/>
              <w:rPr>
                <w:rFonts w:cs="Arial"/>
              </w:rPr>
            </w:pPr>
            <w:r>
              <w:rPr>
                <w:rFonts w:cs="Arial"/>
              </w:rPr>
              <w:t>28. 06. 2021 do 10:00</w:t>
            </w:r>
          </w:p>
        </w:tc>
      </w:tr>
      <w:tr w:rsidR="00A421BE" w:rsidRPr="0033092E" w14:paraId="3C718C3D" w14:textId="77777777" w:rsidTr="00FC3418">
        <w:tc>
          <w:tcPr>
            <w:tcW w:w="3823" w:type="dxa"/>
          </w:tcPr>
          <w:p w14:paraId="4D54CE96" w14:textId="77777777" w:rsidR="00A421BE" w:rsidRPr="0033092E" w:rsidRDefault="00A421BE" w:rsidP="00FC3418">
            <w:pPr>
              <w:spacing w:before="60" w:after="60"/>
              <w:rPr>
                <w:rFonts w:cs="Arial"/>
              </w:rPr>
            </w:pPr>
            <w:r w:rsidRPr="0033092E">
              <w:rPr>
                <w:rFonts w:cs="Arial"/>
              </w:rPr>
              <w:t>Způsob podání nabídek</w:t>
            </w:r>
          </w:p>
        </w:tc>
        <w:tc>
          <w:tcPr>
            <w:tcW w:w="5239" w:type="dxa"/>
          </w:tcPr>
          <w:p w14:paraId="49863379" w14:textId="4C3F9F04" w:rsidR="00A421BE" w:rsidRPr="0097285D" w:rsidRDefault="009A3EAC" w:rsidP="00FC3418">
            <w:pPr>
              <w:spacing w:before="60" w:after="60"/>
              <w:rPr>
                <w:rFonts w:cs="Arial"/>
              </w:rPr>
            </w:pPr>
            <w:r>
              <w:rPr>
                <w:rFonts w:cs="Arial"/>
              </w:rPr>
              <w:t>El. podoba</w:t>
            </w:r>
          </w:p>
        </w:tc>
      </w:tr>
    </w:tbl>
    <w:p w14:paraId="474D0BAF" w14:textId="77777777" w:rsidR="00A421BE" w:rsidRDefault="00A421BE" w:rsidP="00A421BE">
      <w:pPr>
        <w:rPr>
          <w:rFonts w:cs="Arial"/>
        </w:rPr>
      </w:pPr>
    </w:p>
    <w:p w14:paraId="71C613D6" w14:textId="77777777" w:rsidR="00A421BE" w:rsidRPr="0033092E" w:rsidRDefault="00A421BE" w:rsidP="00A421BE">
      <w:pPr>
        <w:spacing w:after="60"/>
        <w:rPr>
          <w:rFonts w:cs="Arial"/>
          <w:b/>
        </w:rPr>
      </w:pPr>
      <w:r w:rsidRPr="0033092E">
        <w:rPr>
          <w:rFonts w:cs="Arial"/>
          <w:b/>
        </w:rPr>
        <w:t>Identifikační údaje zadavatele:</w:t>
      </w:r>
    </w:p>
    <w:tbl>
      <w:tblPr>
        <w:tblStyle w:val="Mkatabulky"/>
        <w:tblW w:w="0" w:type="auto"/>
        <w:tblLook w:val="04A0" w:firstRow="1" w:lastRow="0" w:firstColumn="1" w:lastColumn="0" w:noHBand="0" w:noVBand="1"/>
      </w:tblPr>
      <w:tblGrid>
        <w:gridCol w:w="3823"/>
        <w:gridCol w:w="5239"/>
      </w:tblGrid>
      <w:tr w:rsidR="00A421BE" w:rsidRPr="0033092E" w14:paraId="31793B65" w14:textId="77777777" w:rsidTr="00FC3418">
        <w:tc>
          <w:tcPr>
            <w:tcW w:w="3823" w:type="dxa"/>
          </w:tcPr>
          <w:p w14:paraId="56F3DBB9" w14:textId="77777777" w:rsidR="00A421BE" w:rsidRPr="0033092E" w:rsidRDefault="00A421BE" w:rsidP="00FC3418">
            <w:pPr>
              <w:spacing w:before="60" w:after="60"/>
              <w:rPr>
                <w:rFonts w:cs="Arial"/>
              </w:rPr>
            </w:pPr>
            <w:r w:rsidRPr="0033092E">
              <w:rPr>
                <w:rFonts w:cs="Arial"/>
              </w:rPr>
              <w:t>Název</w:t>
            </w:r>
          </w:p>
        </w:tc>
        <w:tc>
          <w:tcPr>
            <w:tcW w:w="5239" w:type="dxa"/>
          </w:tcPr>
          <w:p w14:paraId="64412019" w14:textId="574F9C21" w:rsidR="00A421BE" w:rsidRPr="0033092E" w:rsidRDefault="00A421BE" w:rsidP="00FC3418">
            <w:pPr>
              <w:spacing w:before="60" w:after="60"/>
              <w:rPr>
                <w:rFonts w:cs="Arial"/>
              </w:rPr>
            </w:pPr>
            <w:r>
              <w:rPr>
                <w:rFonts w:cs="Arial"/>
              </w:rPr>
              <w:t xml:space="preserve">Město </w:t>
            </w:r>
            <w:r w:rsidR="004321FD">
              <w:rPr>
                <w:rFonts w:cs="Arial"/>
              </w:rPr>
              <w:t>Kolín</w:t>
            </w:r>
          </w:p>
        </w:tc>
      </w:tr>
      <w:tr w:rsidR="00A421BE" w:rsidRPr="0033092E" w14:paraId="695E0EE6" w14:textId="77777777" w:rsidTr="00FC3418">
        <w:tc>
          <w:tcPr>
            <w:tcW w:w="3823" w:type="dxa"/>
          </w:tcPr>
          <w:p w14:paraId="12E86324" w14:textId="77777777" w:rsidR="00A421BE" w:rsidRPr="0033092E" w:rsidRDefault="00A421BE" w:rsidP="00FC3418">
            <w:pPr>
              <w:spacing w:before="60" w:after="60"/>
              <w:rPr>
                <w:rFonts w:cs="Arial"/>
              </w:rPr>
            </w:pPr>
            <w:r w:rsidRPr="0033092E">
              <w:rPr>
                <w:rFonts w:cs="Arial"/>
              </w:rPr>
              <w:t>Sídlo</w:t>
            </w:r>
          </w:p>
        </w:tc>
        <w:tc>
          <w:tcPr>
            <w:tcW w:w="5239" w:type="dxa"/>
          </w:tcPr>
          <w:p w14:paraId="7830208F" w14:textId="1C6E2F75" w:rsidR="00A421BE" w:rsidRPr="00FB080F" w:rsidRDefault="000136BD" w:rsidP="00FC3418">
            <w:pPr>
              <w:rPr>
                <w:rFonts w:cs="Arial"/>
                <w:szCs w:val="20"/>
              </w:rPr>
            </w:pPr>
            <w:r w:rsidRPr="00854788">
              <w:rPr>
                <w:rFonts w:cs="Arial"/>
              </w:rPr>
              <w:t>Karlovo náměstí 78, 280 12 Kolín I</w:t>
            </w:r>
          </w:p>
        </w:tc>
      </w:tr>
      <w:tr w:rsidR="00A421BE" w:rsidRPr="0033092E" w14:paraId="6D788647" w14:textId="77777777" w:rsidTr="00FC3418">
        <w:tc>
          <w:tcPr>
            <w:tcW w:w="3823" w:type="dxa"/>
          </w:tcPr>
          <w:p w14:paraId="586E7E9F" w14:textId="77777777" w:rsidR="00A421BE" w:rsidRPr="0033092E" w:rsidRDefault="00A421BE" w:rsidP="00FC3418">
            <w:pPr>
              <w:spacing w:before="60" w:after="60"/>
              <w:rPr>
                <w:rFonts w:cs="Arial"/>
              </w:rPr>
            </w:pPr>
            <w:r w:rsidRPr="0033092E">
              <w:rPr>
                <w:rFonts w:cs="Arial"/>
              </w:rPr>
              <w:t>IČO/DIČ</w:t>
            </w:r>
          </w:p>
        </w:tc>
        <w:tc>
          <w:tcPr>
            <w:tcW w:w="5239" w:type="dxa"/>
          </w:tcPr>
          <w:p w14:paraId="21FC7746" w14:textId="3BCCC9C6" w:rsidR="00A421BE" w:rsidRPr="0033092E" w:rsidRDefault="000136BD" w:rsidP="00FC3418">
            <w:pPr>
              <w:spacing w:before="60" w:after="60"/>
              <w:rPr>
                <w:rFonts w:cs="Arial"/>
              </w:rPr>
            </w:pPr>
            <w:r w:rsidRPr="004167D0">
              <w:rPr>
                <w:rFonts w:cs="Arial"/>
              </w:rPr>
              <w:t xml:space="preserve">IČO: </w:t>
            </w:r>
            <w:r w:rsidRPr="00854788">
              <w:rPr>
                <w:rFonts w:cs="Arial"/>
              </w:rPr>
              <w:t>00235440</w:t>
            </w:r>
            <w:r>
              <w:rPr>
                <w:rFonts w:cs="Arial"/>
              </w:rPr>
              <w:tab/>
            </w:r>
            <w:r w:rsidRPr="00854788">
              <w:rPr>
                <w:rFonts w:cs="Arial"/>
              </w:rPr>
              <w:t xml:space="preserve"> </w:t>
            </w:r>
            <w:r w:rsidRPr="0033092E">
              <w:rPr>
                <w:rFonts w:cs="Arial"/>
              </w:rPr>
              <w:t>/</w:t>
            </w:r>
            <w:r>
              <w:rPr>
                <w:rFonts w:cs="Arial"/>
              </w:rPr>
              <w:t xml:space="preserve"> </w:t>
            </w:r>
            <w:r w:rsidRPr="0033092E">
              <w:rPr>
                <w:rFonts w:cs="Arial"/>
              </w:rPr>
              <w:t>CZ</w:t>
            </w:r>
            <w:r w:rsidRPr="00854788">
              <w:rPr>
                <w:rFonts w:cs="Arial"/>
              </w:rPr>
              <w:t>00235440</w:t>
            </w:r>
          </w:p>
        </w:tc>
      </w:tr>
      <w:tr w:rsidR="00A421BE" w:rsidRPr="0033092E" w14:paraId="67009E3F" w14:textId="77777777" w:rsidTr="00FC3418">
        <w:tc>
          <w:tcPr>
            <w:tcW w:w="3823" w:type="dxa"/>
          </w:tcPr>
          <w:p w14:paraId="43C4476E" w14:textId="77777777" w:rsidR="00A421BE" w:rsidRPr="0033092E" w:rsidRDefault="00A421BE" w:rsidP="00FC3418">
            <w:pPr>
              <w:spacing w:before="60" w:after="60"/>
              <w:rPr>
                <w:rFonts w:cs="Arial"/>
              </w:rPr>
            </w:pPr>
            <w:r w:rsidRPr="0033092E">
              <w:rPr>
                <w:rFonts w:cs="Arial"/>
              </w:rPr>
              <w:t>Zastoupený/á</w:t>
            </w:r>
          </w:p>
        </w:tc>
        <w:tc>
          <w:tcPr>
            <w:tcW w:w="5239" w:type="dxa"/>
          </w:tcPr>
          <w:p w14:paraId="5BF527B1" w14:textId="45E8E598" w:rsidR="00A421BE" w:rsidRPr="00FB080F" w:rsidRDefault="00A421BE" w:rsidP="006C3757">
            <w:pPr>
              <w:spacing w:before="60" w:after="60"/>
              <w:rPr>
                <w:rFonts w:cs="Arial"/>
                <w:szCs w:val="20"/>
              </w:rPr>
            </w:pPr>
            <w:r w:rsidRPr="00FB080F">
              <w:rPr>
                <w:rFonts w:cs="Arial"/>
                <w:color w:val="000000"/>
                <w:szCs w:val="20"/>
              </w:rPr>
              <w:t xml:space="preserve">Mgr. </w:t>
            </w:r>
            <w:r w:rsidR="006C3757">
              <w:rPr>
                <w:rFonts w:cs="Arial"/>
                <w:color w:val="000000"/>
                <w:szCs w:val="20"/>
              </w:rPr>
              <w:t xml:space="preserve">Michaelem Kašparem, </w:t>
            </w:r>
            <w:r w:rsidRPr="00FB080F">
              <w:rPr>
                <w:rFonts w:cs="Arial"/>
                <w:szCs w:val="20"/>
              </w:rPr>
              <w:t>starost</w:t>
            </w:r>
            <w:r>
              <w:rPr>
                <w:rFonts w:cs="Arial"/>
                <w:szCs w:val="20"/>
              </w:rPr>
              <w:t>ou</w:t>
            </w:r>
          </w:p>
        </w:tc>
      </w:tr>
      <w:tr w:rsidR="00A421BE" w:rsidRPr="0033092E" w14:paraId="6D93F702" w14:textId="77777777" w:rsidTr="00FC3418">
        <w:tc>
          <w:tcPr>
            <w:tcW w:w="3823" w:type="dxa"/>
          </w:tcPr>
          <w:p w14:paraId="1DC3B4C6" w14:textId="77777777" w:rsidR="00A421BE" w:rsidRPr="0033092E" w:rsidRDefault="00A421BE" w:rsidP="00FC3418">
            <w:pPr>
              <w:spacing w:before="60" w:after="60"/>
              <w:rPr>
                <w:rFonts w:cs="Arial"/>
              </w:rPr>
            </w:pPr>
            <w:r w:rsidRPr="0033092E">
              <w:rPr>
                <w:rFonts w:cs="Arial"/>
              </w:rPr>
              <w:t>Právní forma</w:t>
            </w:r>
          </w:p>
        </w:tc>
        <w:tc>
          <w:tcPr>
            <w:tcW w:w="5239" w:type="dxa"/>
          </w:tcPr>
          <w:p w14:paraId="77FADA41" w14:textId="77777777" w:rsidR="00A421BE" w:rsidRPr="0033092E" w:rsidRDefault="00A421BE" w:rsidP="00FC3418">
            <w:pPr>
              <w:spacing w:before="60" w:after="60"/>
              <w:rPr>
                <w:rFonts w:cs="Arial"/>
              </w:rPr>
            </w:pPr>
            <w:r>
              <w:rPr>
                <w:rFonts w:cs="Arial"/>
              </w:rPr>
              <w:t>Územní samosprávný celek</w:t>
            </w:r>
          </w:p>
        </w:tc>
      </w:tr>
      <w:tr w:rsidR="00A421BE" w:rsidRPr="0033092E" w14:paraId="2D968FE9" w14:textId="77777777" w:rsidTr="00FC3418">
        <w:tc>
          <w:tcPr>
            <w:tcW w:w="3823" w:type="dxa"/>
          </w:tcPr>
          <w:p w14:paraId="6077EA41" w14:textId="77777777" w:rsidR="00A421BE" w:rsidRPr="0033092E" w:rsidRDefault="00A421BE" w:rsidP="00FC3418">
            <w:pPr>
              <w:spacing w:before="60" w:after="60"/>
              <w:rPr>
                <w:rFonts w:cs="Arial"/>
              </w:rPr>
            </w:pPr>
            <w:r w:rsidRPr="0033092E">
              <w:rPr>
                <w:rFonts w:cs="Arial"/>
              </w:rPr>
              <w:t>Profil zadavatele</w:t>
            </w:r>
          </w:p>
        </w:tc>
        <w:tc>
          <w:tcPr>
            <w:tcW w:w="5239" w:type="dxa"/>
          </w:tcPr>
          <w:p w14:paraId="7362BA6B" w14:textId="7C4E37A2" w:rsidR="00A421BE" w:rsidRPr="003703FC" w:rsidRDefault="00F8753C" w:rsidP="00FC3418">
            <w:pPr>
              <w:spacing w:before="60" w:after="60"/>
              <w:rPr>
                <w:rFonts w:cs="Arial"/>
              </w:rPr>
            </w:pPr>
            <w:hyperlink r:id="rId7" w:history="1">
              <w:r w:rsidR="00D2386D">
                <w:rPr>
                  <w:rStyle w:val="Hypertextovodkaz"/>
                </w:rPr>
                <w:t>https://zakazky.mukolin.cz/</w:t>
              </w:r>
            </w:hyperlink>
          </w:p>
        </w:tc>
      </w:tr>
      <w:tr w:rsidR="00A421BE" w:rsidRPr="0033092E" w14:paraId="0910408B" w14:textId="77777777" w:rsidTr="00FC3418">
        <w:tc>
          <w:tcPr>
            <w:tcW w:w="3823" w:type="dxa"/>
          </w:tcPr>
          <w:p w14:paraId="041BACFF" w14:textId="77777777" w:rsidR="00A421BE" w:rsidRPr="0033092E" w:rsidRDefault="00A421BE" w:rsidP="00FC3418">
            <w:pPr>
              <w:spacing w:before="60" w:after="60"/>
              <w:rPr>
                <w:rFonts w:cs="Arial"/>
              </w:rPr>
            </w:pPr>
            <w:r>
              <w:rPr>
                <w:rFonts w:cs="Arial"/>
              </w:rPr>
              <w:t>Webový portál</w:t>
            </w:r>
          </w:p>
        </w:tc>
        <w:tc>
          <w:tcPr>
            <w:tcW w:w="5239" w:type="dxa"/>
          </w:tcPr>
          <w:p w14:paraId="34C873D3" w14:textId="2CE81D81" w:rsidR="00D51BA6" w:rsidRPr="000136BD" w:rsidRDefault="00F8753C" w:rsidP="00FC3418">
            <w:pPr>
              <w:spacing w:before="60" w:after="60"/>
            </w:pPr>
            <w:hyperlink r:id="rId8" w:history="1">
              <w:r w:rsidR="00D51BA6" w:rsidRPr="00BC2932">
                <w:rPr>
                  <w:rStyle w:val="Hypertextovodkaz"/>
                </w:rPr>
                <w:t>https://www.mukolin.cz</w:t>
              </w:r>
            </w:hyperlink>
          </w:p>
        </w:tc>
      </w:tr>
    </w:tbl>
    <w:p w14:paraId="4F88D4A2" w14:textId="77777777" w:rsidR="00A421BE" w:rsidRPr="0033092E" w:rsidRDefault="00A421BE" w:rsidP="00A421BE">
      <w:pPr>
        <w:rPr>
          <w:rFonts w:cs="Arial"/>
        </w:rPr>
      </w:pPr>
    </w:p>
    <w:p w14:paraId="4F523746" w14:textId="77777777" w:rsidR="00A421BE" w:rsidRPr="0033092E" w:rsidRDefault="00A421BE" w:rsidP="00A421BE">
      <w:pPr>
        <w:spacing w:after="60"/>
        <w:rPr>
          <w:rFonts w:cs="Arial"/>
          <w:b/>
        </w:rPr>
      </w:pPr>
      <w:r>
        <w:rPr>
          <w:rFonts w:cs="Arial"/>
          <w:b/>
        </w:rPr>
        <w:t>K</w:t>
      </w:r>
      <w:r w:rsidRPr="0033092E">
        <w:rPr>
          <w:rFonts w:cs="Arial"/>
          <w:b/>
        </w:rPr>
        <w:t>ontaktní osoba</w:t>
      </w:r>
      <w:r>
        <w:rPr>
          <w:rFonts w:cs="Arial"/>
          <w:b/>
        </w:rPr>
        <w:t xml:space="preserve"> zadavatele pro věci technické</w:t>
      </w:r>
      <w:r w:rsidRPr="0033092E">
        <w:rPr>
          <w:rFonts w:cs="Arial"/>
          <w:b/>
        </w:rPr>
        <w:t>:</w:t>
      </w:r>
    </w:p>
    <w:tbl>
      <w:tblPr>
        <w:tblStyle w:val="Mkatabulky"/>
        <w:tblW w:w="9062" w:type="dxa"/>
        <w:tblLook w:val="04A0" w:firstRow="1" w:lastRow="0" w:firstColumn="1" w:lastColumn="0" w:noHBand="0" w:noVBand="1"/>
      </w:tblPr>
      <w:tblGrid>
        <w:gridCol w:w="3823"/>
        <w:gridCol w:w="5239"/>
      </w:tblGrid>
      <w:tr w:rsidR="000136BD" w:rsidRPr="0033092E" w14:paraId="4B42ED58" w14:textId="77777777" w:rsidTr="000136BD">
        <w:tc>
          <w:tcPr>
            <w:tcW w:w="3823" w:type="dxa"/>
          </w:tcPr>
          <w:p w14:paraId="201F4BE7" w14:textId="77777777" w:rsidR="000136BD" w:rsidRPr="0033092E" w:rsidRDefault="000136BD" w:rsidP="000136BD">
            <w:pPr>
              <w:spacing w:before="60" w:after="60"/>
              <w:rPr>
                <w:rFonts w:cs="Arial"/>
              </w:rPr>
            </w:pPr>
            <w:r w:rsidRPr="0033092E">
              <w:rPr>
                <w:rFonts w:cs="Arial"/>
              </w:rPr>
              <w:t>Kontaktní osoba</w:t>
            </w:r>
          </w:p>
        </w:tc>
        <w:tc>
          <w:tcPr>
            <w:tcW w:w="5239" w:type="dxa"/>
            <w:shd w:val="clear" w:color="auto" w:fill="auto"/>
          </w:tcPr>
          <w:p w14:paraId="4F65FB69" w14:textId="17941077" w:rsidR="000136BD" w:rsidRPr="006C3757" w:rsidRDefault="000136BD" w:rsidP="000136BD">
            <w:pPr>
              <w:spacing w:before="60" w:after="60"/>
              <w:rPr>
                <w:rFonts w:cs="Arial"/>
              </w:rPr>
            </w:pPr>
            <w:r w:rsidRPr="006C3757">
              <w:rPr>
                <w:rFonts w:cs="Arial"/>
              </w:rPr>
              <w:t>Petr Musílek</w:t>
            </w:r>
          </w:p>
        </w:tc>
      </w:tr>
      <w:tr w:rsidR="000136BD" w:rsidRPr="0033092E" w14:paraId="00B793D7" w14:textId="77777777" w:rsidTr="000136BD">
        <w:tc>
          <w:tcPr>
            <w:tcW w:w="3823" w:type="dxa"/>
          </w:tcPr>
          <w:p w14:paraId="61981DB6" w14:textId="77777777" w:rsidR="000136BD" w:rsidRPr="0033092E" w:rsidRDefault="000136BD" w:rsidP="000136BD">
            <w:pPr>
              <w:spacing w:before="60" w:after="60"/>
              <w:rPr>
                <w:rFonts w:cs="Arial"/>
              </w:rPr>
            </w:pPr>
            <w:r w:rsidRPr="0033092E">
              <w:rPr>
                <w:rFonts w:cs="Arial"/>
              </w:rPr>
              <w:t>Telefonní kontakt</w:t>
            </w:r>
          </w:p>
        </w:tc>
        <w:tc>
          <w:tcPr>
            <w:tcW w:w="5239" w:type="dxa"/>
            <w:shd w:val="clear" w:color="auto" w:fill="auto"/>
          </w:tcPr>
          <w:p w14:paraId="18A96E02" w14:textId="26487601" w:rsidR="000136BD" w:rsidRPr="006C3757" w:rsidRDefault="000136BD" w:rsidP="000136BD">
            <w:pPr>
              <w:spacing w:before="60" w:after="60"/>
              <w:rPr>
                <w:rFonts w:cs="Arial"/>
              </w:rPr>
            </w:pPr>
            <w:r w:rsidRPr="006C3757">
              <w:rPr>
                <w:rFonts w:cs="Arial"/>
              </w:rPr>
              <w:t>+420 321 748 391</w:t>
            </w:r>
          </w:p>
        </w:tc>
      </w:tr>
      <w:tr w:rsidR="000136BD" w:rsidRPr="0033092E" w14:paraId="6D4C7881" w14:textId="77777777" w:rsidTr="000136BD">
        <w:tc>
          <w:tcPr>
            <w:tcW w:w="3823" w:type="dxa"/>
          </w:tcPr>
          <w:p w14:paraId="1DAF53DB" w14:textId="77777777" w:rsidR="000136BD" w:rsidRPr="0033092E" w:rsidRDefault="000136BD" w:rsidP="000136BD">
            <w:pPr>
              <w:spacing w:before="60" w:after="60"/>
              <w:rPr>
                <w:rFonts w:cs="Arial"/>
              </w:rPr>
            </w:pPr>
            <w:r w:rsidRPr="0033092E">
              <w:rPr>
                <w:rFonts w:cs="Arial"/>
              </w:rPr>
              <w:t>E-mailová adresa</w:t>
            </w:r>
          </w:p>
        </w:tc>
        <w:tc>
          <w:tcPr>
            <w:tcW w:w="5239" w:type="dxa"/>
            <w:shd w:val="clear" w:color="auto" w:fill="auto"/>
          </w:tcPr>
          <w:p w14:paraId="61D45D05" w14:textId="44E3D6DC" w:rsidR="000136BD" w:rsidRPr="006C3757" w:rsidRDefault="00F8753C" w:rsidP="000136BD">
            <w:pPr>
              <w:spacing w:before="60" w:after="60"/>
              <w:rPr>
                <w:rFonts w:cs="Arial"/>
              </w:rPr>
            </w:pPr>
            <w:hyperlink r:id="rId9" w:history="1">
              <w:r w:rsidR="000136BD" w:rsidRPr="006C3757">
                <w:rPr>
                  <w:rStyle w:val="Hypertextovodkaz"/>
                  <w:rFonts w:cs="Arial"/>
                  <w:color w:val="auto"/>
                </w:rPr>
                <w:t>petr.musilek@mukolin.cz</w:t>
              </w:r>
            </w:hyperlink>
          </w:p>
        </w:tc>
      </w:tr>
    </w:tbl>
    <w:p w14:paraId="29B7D012" w14:textId="77777777" w:rsidR="00A421BE" w:rsidRDefault="00A421BE" w:rsidP="00A421BE">
      <w:pPr>
        <w:rPr>
          <w:rFonts w:cs="Arial"/>
          <w:b/>
        </w:rPr>
      </w:pPr>
    </w:p>
    <w:p w14:paraId="0BB608E6" w14:textId="77777777" w:rsidR="00A421BE" w:rsidRPr="0033092E" w:rsidRDefault="00A421BE" w:rsidP="00A421BE">
      <w:pPr>
        <w:spacing w:after="60"/>
        <w:rPr>
          <w:rFonts w:cs="Arial"/>
          <w:b/>
        </w:rPr>
      </w:pPr>
      <w:r>
        <w:rPr>
          <w:rFonts w:cs="Arial"/>
          <w:b/>
        </w:rPr>
        <w:t>Zpracovatel zadávacích podmínek</w:t>
      </w:r>
      <w:r w:rsidRPr="0033092E">
        <w:rPr>
          <w:rFonts w:cs="Arial"/>
          <w:b/>
        </w:rPr>
        <w:t>:</w:t>
      </w:r>
    </w:p>
    <w:tbl>
      <w:tblPr>
        <w:tblStyle w:val="Mkatabulky"/>
        <w:tblW w:w="0" w:type="auto"/>
        <w:tblLook w:val="04A0" w:firstRow="1" w:lastRow="0" w:firstColumn="1" w:lastColumn="0" w:noHBand="0" w:noVBand="1"/>
      </w:tblPr>
      <w:tblGrid>
        <w:gridCol w:w="9062"/>
      </w:tblGrid>
      <w:tr w:rsidR="00A421BE" w:rsidRPr="0097285D" w14:paraId="0C9FE677" w14:textId="77777777" w:rsidTr="00FC3418">
        <w:tc>
          <w:tcPr>
            <w:tcW w:w="9062" w:type="dxa"/>
          </w:tcPr>
          <w:p w14:paraId="61802888" w14:textId="77777777" w:rsidR="00A421BE" w:rsidRPr="0097285D" w:rsidRDefault="00A421BE" w:rsidP="00FC3418">
            <w:pPr>
              <w:spacing w:before="60" w:after="60"/>
              <w:rPr>
                <w:rFonts w:cs="Arial"/>
                <w:highlight w:val="yellow"/>
              </w:rPr>
            </w:pPr>
            <w:r w:rsidRPr="0097285D">
              <w:t>EQUICA, a.s., 190 00 Praha 9 – Vysočany, IČO: 26490951</w:t>
            </w:r>
          </w:p>
        </w:tc>
      </w:tr>
    </w:tbl>
    <w:p w14:paraId="6D591CC6" w14:textId="77777777" w:rsidR="00A421BE" w:rsidRDefault="00A421BE" w:rsidP="00A421BE">
      <w:pPr>
        <w:spacing w:before="0" w:after="200" w:line="276" w:lineRule="auto"/>
        <w:jc w:val="left"/>
        <w:rPr>
          <w:rFonts w:cs="Arial"/>
          <w:b/>
        </w:rPr>
      </w:pPr>
    </w:p>
    <w:p w14:paraId="0EB1C4F4" w14:textId="77777777" w:rsidR="00A421BE" w:rsidRDefault="00A421BE" w:rsidP="00A421BE">
      <w:pPr>
        <w:pStyle w:val="Nadpis1"/>
        <w:pageBreakBefore/>
        <w:numPr>
          <w:ilvl w:val="0"/>
          <w:numId w:val="0"/>
        </w:numPr>
        <w:rPr>
          <w:rFonts w:cs="Arial"/>
          <w:caps/>
        </w:rPr>
      </w:pPr>
      <w:r>
        <w:rPr>
          <w:rFonts w:cs="Arial"/>
          <w:caps/>
        </w:rPr>
        <w:lastRenderedPageBreak/>
        <w:t>Preambule</w:t>
      </w:r>
    </w:p>
    <w:p w14:paraId="7C49D506" w14:textId="5379F79E" w:rsidR="006F691E" w:rsidRPr="006F691E" w:rsidRDefault="006F691E" w:rsidP="006F691E">
      <w:pPr>
        <w:pStyle w:val="Tabulkatext"/>
        <w:spacing w:after="120"/>
        <w:ind w:left="0"/>
        <w:jc w:val="both"/>
        <w:rPr>
          <w:rFonts w:ascii="Arial" w:hAnsi="Arial" w:cs="Arial"/>
          <w:szCs w:val="20"/>
        </w:rPr>
      </w:pPr>
      <w:r w:rsidRPr="006F691E">
        <w:rPr>
          <w:rFonts w:ascii="Arial" w:hAnsi="Arial" w:cs="Arial"/>
          <w:szCs w:val="20"/>
        </w:rPr>
        <w:t>Informace a údaje uvedené v této výzvě a jejích přílohách vymezují závazné požadavky zadavatele na</w:t>
      </w:r>
      <w:r w:rsidR="00E27A85">
        <w:rPr>
          <w:rFonts w:ascii="Arial" w:hAnsi="Arial" w:cs="Arial"/>
          <w:szCs w:val="20"/>
        </w:rPr>
        <w:t> </w:t>
      </w:r>
      <w:r w:rsidRPr="006F691E">
        <w:rPr>
          <w:rFonts w:ascii="Arial" w:hAnsi="Arial" w:cs="Arial"/>
          <w:szCs w:val="20"/>
        </w:rPr>
        <w:t>plnění zakázky. Tyto požadavky je účastník povinen bezvýhradně respektovat při zpracování své nabídky a ve své nabídce je akceptovat. Neakceptování požadavků uvedených v této výzvě a v jejích přílohách či změna obchodních podmínek mohou být považovány za nesplnění výzvy s následkem vyloučení účastníka z další účasti ve veřejné zakázce.</w:t>
      </w:r>
    </w:p>
    <w:p w14:paraId="6D8E045A" w14:textId="77777777" w:rsidR="006F691E" w:rsidRDefault="006F691E" w:rsidP="00EE4F1C">
      <w:pPr>
        <w:rPr>
          <w:lang w:eastAsia="cs-CZ"/>
        </w:rPr>
      </w:pPr>
    </w:p>
    <w:p w14:paraId="759D9995" w14:textId="7E0C394A" w:rsidR="003838DC" w:rsidRPr="003838DC" w:rsidRDefault="000136BD" w:rsidP="000136BD">
      <w:pPr>
        <w:pStyle w:val="Nadpis1"/>
      </w:pPr>
      <w:r>
        <w:t>PŘEDMĚT VEŘEJNÉ ZAKÁZKY</w:t>
      </w:r>
    </w:p>
    <w:p w14:paraId="07F71BA0" w14:textId="2384BE58" w:rsidR="000136BD" w:rsidRDefault="000136BD" w:rsidP="000136BD">
      <w:pPr>
        <w:pStyle w:val="Nadpis2"/>
      </w:pPr>
      <w:r>
        <w:t>Účel veřejné zakázky</w:t>
      </w:r>
    </w:p>
    <w:p w14:paraId="0F5648B8" w14:textId="62CE99F5" w:rsidR="009A3EAC" w:rsidRDefault="009A3EAC" w:rsidP="009A3EAC">
      <w:pPr>
        <w:rPr>
          <w:rFonts w:cs="Arial"/>
          <w:szCs w:val="20"/>
        </w:rPr>
      </w:pPr>
      <w:r>
        <w:rPr>
          <w:rFonts w:cs="Arial"/>
          <w:szCs w:val="20"/>
        </w:rPr>
        <w:t>Účelem veřejné zakázky je zajištění dodávky nové webové prezentace města vč. volnočasového portálu a jeho hosting s vlastním redakčním systémem umožňujícím úpravy webové prezentace podle potřeb zadavatele.</w:t>
      </w:r>
    </w:p>
    <w:p w14:paraId="54F5E8AC" w14:textId="77777777" w:rsidR="000136BD" w:rsidRPr="00854788" w:rsidRDefault="000136BD" w:rsidP="000136BD">
      <w:pPr>
        <w:pStyle w:val="Nadpis2"/>
      </w:pPr>
      <w:r w:rsidRPr="00854788">
        <w:t xml:space="preserve">Popis předmětu veřejné zakázky </w:t>
      </w:r>
    </w:p>
    <w:p w14:paraId="277A641F" w14:textId="77777777" w:rsidR="009A3EAC" w:rsidRDefault="009A3EAC" w:rsidP="009A3EAC">
      <w:pPr>
        <w:rPr>
          <w:bCs/>
          <w:szCs w:val="24"/>
        </w:rPr>
      </w:pPr>
      <w:r w:rsidRPr="00F043DB">
        <w:rPr>
          <w:szCs w:val="24"/>
        </w:rPr>
        <w:t xml:space="preserve">Předmětem zakázky je vytvoření nového webového portálu města </w:t>
      </w:r>
      <w:r>
        <w:rPr>
          <w:szCs w:val="24"/>
        </w:rPr>
        <w:t xml:space="preserve">Kolína </w:t>
      </w:r>
      <w:r w:rsidRPr="00F043DB">
        <w:rPr>
          <w:szCs w:val="24"/>
        </w:rPr>
        <w:t>(</w:t>
      </w:r>
      <w:r>
        <w:rPr>
          <w:szCs w:val="24"/>
        </w:rPr>
        <w:t xml:space="preserve">zakázka zahrnuje dodávku </w:t>
      </w:r>
      <w:r w:rsidRPr="00F043DB">
        <w:rPr>
          <w:szCs w:val="24"/>
        </w:rPr>
        <w:t>redakční</w:t>
      </w:r>
      <w:r>
        <w:rPr>
          <w:szCs w:val="24"/>
        </w:rPr>
        <w:t>ho</w:t>
      </w:r>
      <w:r w:rsidRPr="00F043DB">
        <w:rPr>
          <w:szCs w:val="24"/>
        </w:rPr>
        <w:t xml:space="preserve"> systém</w:t>
      </w:r>
      <w:r>
        <w:rPr>
          <w:szCs w:val="24"/>
        </w:rPr>
        <w:t>u</w:t>
      </w:r>
      <w:r w:rsidRPr="00F043DB">
        <w:rPr>
          <w:bCs/>
          <w:szCs w:val="24"/>
        </w:rPr>
        <w:t xml:space="preserve">, </w:t>
      </w:r>
      <w:r>
        <w:rPr>
          <w:bCs/>
          <w:szCs w:val="24"/>
        </w:rPr>
        <w:t>webových stránek města a webového portálu volnočasových aktivit</w:t>
      </w:r>
      <w:r w:rsidRPr="00F043DB">
        <w:rPr>
          <w:bCs/>
          <w:szCs w:val="24"/>
        </w:rPr>
        <w:t>)</w:t>
      </w:r>
      <w:r>
        <w:rPr>
          <w:bCs/>
          <w:szCs w:val="24"/>
        </w:rPr>
        <w:t>. Součástí díla je rovněž převod dat ze současných stránek, zkušební provoz, uvedení nového webu do produkčního provozu, školení editorů a uživatelů redakčního systému a hosting vytvořené webové prezentace města - bude specifikováno ve smlouvě o dílo.</w:t>
      </w:r>
    </w:p>
    <w:p w14:paraId="7E2D35EB" w14:textId="19BC3A9E" w:rsidR="009A3EAC" w:rsidRDefault="009A3EAC" w:rsidP="009A3EAC">
      <w:pPr>
        <w:rPr>
          <w:bCs/>
          <w:szCs w:val="24"/>
        </w:rPr>
      </w:pPr>
      <w:r>
        <w:rPr>
          <w:bCs/>
          <w:szCs w:val="24"/>
        </w:rPr>
        <w:t>Podrobné požadavky pro vytvoření webového portálu jsou stanoveny v Příloze č. 1.</w:t>
      </w:r>
    </w:p>
    <w:p w14:paraId="65216C81" w14:textId="77777777" w:rsidR="002C499A" w:rsidRDefault="002C499A" w:rsidP="009A3EAC">
      <w:pPr>
        <w:rPr>
          <w:bCs/>
          <w:szCs w:val="24"/>
        </w:rPr>
      </w:pPr>
    </w:p>
    <w:p w14:paraId="0DFBC5DA" w14:textId="3D971CF3" w:rsidR="002C499A" w:rsidRPr="00854788" w:rsidRDefault="002C499A" w:rsidP="002C499A">
      <w:pPr>
        <w:pStyle w:val="Nadpis1"/>
      </w:pPr>
      <w:r>
        <w:t>VYHRAZENÁ ZMĚNA ZÁVAZKU</w:t>
      </w:r>
    </w:p>
    <w:p w14:paraId="2F536348" w14:textId="4AE72C45" w:rsidR="002C499A" w:rsidRDefault="002C499A" w:rsidP="002C499A">
      <w:r>
        <w:rPr>
          <w:szCs w:val="24"/>
        </w:rPr>
        <w:t xml:space="preserve">Zadavatel si analogicky k § 100 ZZVZ vyhrazuje možnost změny závazku, </w:t>
      </w:r>
      <w:r>
        <w:t xml:space="preserve">tj. rozsahu předpokládaných služeb </w:t>
      </w:r>
      <w:r w:rsidRPr="00937BA8">
        <w:t>spočívající v</w:t>
      </w:r>
      <w:r>
        <w:t>:</w:t>
      </w:r>
    </w:p>
    <w:p w14:paraId="219A3E97" w14:textId="413F4834" w:rsidR="002C499A" w:rsidRDefault="002C499A" w:rsidP="002C499A">
      <w:pPr>
        <w:pStyle w:val="Odstavecseseznamem"/>
        <w:numPr>
          <w:ilvl w:val="0"/>
          <w:numId w:val="18"/>
        </w:numPr>
        <w:spacing w:after="120"/>
        <w:ind w:left="714" w:hanging="357"/>
        <w:contextualSpacing w:val="0"/>
      </w:pPr>
      <w:r>
        <w:t>prodloužení poskytování provozní podpory a hostingu,</w:t>
      </w:r>
    </w:p>
    <w:p w14:paraId="33C1D57F" w14:textId="79CB4523" w:rsidR="002C499A" w:rsidRDefault="002C499A" w:rsidP="002C499A">
      <w:pPr>
        <w:pStyle w:val="Odstavecseseznamem"/>
        <w:numPr>
          <w:ilvl w:val="0"/>
          <w:numId w:val="18"/>
        </w:numPr>
        <w:spacing w:after="120"/>
        <w:ind w:left="714" w:hanging="357"/>
        <w:contextualSpacing w:val="0"/>
      </w:pPr>
      <w:r>
        <w:t>zvýšení rozsahu poskytovaných ostatních programátorských prací.</w:t>
      </w:r>
    </w:p>
    <w:p w14:paraId="3E13C85D" w14:textId="1CF9D406" w:rsidR="002C499A" w:rsidRDefault="002C499A" w:rsidP="002C499A">
      <w:r>
        <w:t xml:space="preserve">Případné využití změny závazku nesmí měnit celkovou povahu veřejné zakázky a musí přímo souviset s předmětem plnění veřejné zakázky. Cena dodávek a/nebo služeb pořizovaných v rámci vyhrazené změny závazku bude stanovena na základě cen uvedených v uzavřené Smlouvě o dílo </w:t>
      </w:r>
      <w:r>
        <w:rPr>
          <w:szCs w:val="20"/>
        </w:rPr>
        <w:t>a o podpoře provozu</w:t>
      </w:r>
      <w:r>
        <w:t>. U cen, které nebudou součástí uzavřené smlouvy, budou použity ceny v čase a místě obvyklé – cenu navrhne vítězný dodavatel a navržená cena bude podléhat odsouhlasení ze strany zadavatele.</w:t>
      </w:r>
    </w:p>
    <w:p w14:paraId="17FA73BA" w14:textId="18CD029E" w:rsidR="002C499A" w:rsidRDefault="002C499A" w:rsidP="002C499A">
      <w:r>
        <w:t xml:space="preserve">Možnost využití vyhrazené změny závazku bude vždy přináležet zadavateli, který k případnému poskytnutí nových služeb vyzve vítězného dodavatele k jednání o poskytnutí služeb. V rámci jednání dojde k potvrzení stávající (u služeb a dodávek již oceněných ve výběrovém řízení) nebo stanovení nové ceny (u služeb a dodávek ve výběrovém řízení dosud neoceněných) dodávky a/nebo služeb. Jednání bude uzavřeno dodatkem ke Smlouvě o dílo </w:t>
      </w:r>
      <w:r>
        <w:rPr>
          <w:szCs w:val="20"/>
        </w:rPr>
        <w:t>a o podpoře provozu</w:t>
      </w:r>
      <w:r>
        <w:t xml:space="preserve">. Výhrada změny závazku může být zadavatelem využita od začátku plnění veřejné zakázky až do uplynutí platnosti Smlouvy o dílo </w:t>
      </w:r>
      <w:r>
        <w:rPr>
          <w:szCs w:val="20"/>
        </w:rPr>
        <w:t>a o podpoře provozu</w:t>
      </w:r>
      <w:r>
        <w:t xml:space="preserve">. Vyhrazená změna nesmí přesáhnout 1 000 000 Kč bez DPH. Hodnota závazku je stanovena nad rámec nabídkové ceny vítězného dodavatele. Výhrada změny závazku nemusí být zadavatelem využita. </w:t>
      </w:r>
    </w:p>
    <w:p w14:paraId="7E36552C" w14:textId="16FEABF3" w:rsidR="002C499A" w:rsidRDefault="002C499A" w:rsidP="002C499A">
      <w:r>
        <w:t xml:space="preserve">Změny v uzavřené smlouvě lze činit pouze formou písemného dodatku ke Smlouvě o dílo </w:t>
      </w:r>
      <w:r>
        <w:rPr>
          <w:szCs w:val="20"/>
        </w:rPr>
        <w:t xml:space="preserve">a o podpoře provozu </w:t>
      </w:r>
      <w:r>
        <w:t>uzavřené mezi zadavatelem a dodavatelem a způsobem, který bude v souladu se ZZVZ, a to zejména s ustanoveními § 222 ZZVZ (Změna závazku ze smlouvy na veřejnou zakázku).</w:t>
      </w:r>
    </w:p>
    <w:p w14:paraId="2032DDD9" w14:textId="77777777" w:rsidR="002C499A" w:rsidRDefault="002C499A" w:rsidP="002C499A">
      <w:pPr>
        <w:rPr>
          <w:rFonts w:cs="Arial"/>
          <w:szCs w:val="20"/>
        </w:rPr>
      </w:pPr>
    </w:p>
    <w:bookmarkEnd w:id="5"/>
    <w:bookmarkEnd w:id="6"/>
    <w:bookmarkEnd w:id="7"/>
    <w:p w14:paraId="04013D34" w14:textId="072714E2" w:rsidR="00A421BE" w:rsidRPr="00392202" w:rsidRDefault="00E00833" w:rsidP="00E00833">
      <w:pPr>
        <w:pStyle w:val="Nadpis1"/>
      </w:pPr>
      <w:r w:rsidRPr="00392202">
        <w:lastRenderedPageBreak/>
        <w:t>POŽADAVKY NA ZPRACOVÁNÍ NABÍDKOVÉ CENY</w:t>
      </w:r>
    </w:p>
    <w:p w14:paraId="0B3929C6" w14:textId="41385EB4" w:rsidR="00A07025" w:rsidRDefault="00B02D78" w:rsidP="00C34850">
      <w:pPr>
        <w:rPr>
          <w:bCs/>
          <w:szCs w:val="20"/>
        </w:rPr>
      </w:pPr>
      <w:r>
        <w:rPr>
          <w:bCs/>
          <w:szCs w:val="20"/>
        </w:rPr>
        <w:t>Nabídková cena musí být zpracována v českém měně (Kč). Nabídková cena musí být uvedena bez</w:t>
      </w:r>
      <w:r w:rsidR="00E27A85">
        <w:rPr>
          <w:bCs/>
          <w:szCs w:val="20"/>
        </w:rPr>
        <w:t> </w:t>
      </w:r>
      <w:r>
        <w:rPr>
          <w:bCs/>
          <w:szCs w:val="20"/>
        </w:rPr>
        <w:t xml:space="preserve">DPH, samostatně uvedené DPH a celková cena včetně DPH. </w:t>
      </w:r>
    </w:p>
    <w:p w14:paraId="3E959755" w14:textId="469D053D" w:rsidR="00B02D78" w:rsidRDefault="00B02D78" w:rsidP="00C34850">
      <w:pPr>
        <w:rPr>
          <w:bCs/>
          <w:szCs w:val="20"/>
        </w:rPr>
      </w:pPr>
      <w:r>
        <w:rPr>
          <w:bCs/>
          <w:szCs w:val="20"/>
        </w:rPr>
        <w:t>Nabídková cena bez DPH bude považována za nejvýše přípustnou po celou dobu plnění veřejné zakázky a musí zahrnovat veškeré dodávky, práce a služby nutné k řádnému a úplnému zhotovení a</w:t>
      </w:r>
      <w:r w:rsidR="00E27A85">
        <w:rPr>
          <w:bCs/>
          <w:szCs w:val="20"/>
        </w:rPr>
        <w:t> </w:t>
      </w:r>
      <w:r>
        <w:rPr>
          <w:bCs/>
          <w:szCs w:val="20"/>
        </w:rPr>
        <w:t>dodání předmětu plnění veřejné zakázky a jeho uved</w:t>
      </w:r>
      <w:r w:rsidR="006356D1">
        <w:rPr>
          <w:bCs/>
          <w:szCs w:val="20"/>
        </w:rPr>
        <w:t>e</w:t>
      </w:r>
      <w:r>
        <w:rPr>
          <w:bCs/>
          <w:szCs w:val="20"/>
        </w:rPr>
        <w:t>ní do provozu</w:t>
      </w:r>
      <w:r w:rsidR="00A07025">
        <w:rPr>
          <w:bCs/>
          <w:szCs w:val="20"/>
        </w:rPr>
        <w:t>,</w:t>
      </w:r>
      <w:r>
        <w:rPr>
          <w:bCs/>
          <w:szCs w:val="20"/>
        </w:rPr>
        <w:t xml:space="preserve"> které vyplývají ze zadáva</w:t>
      </w:r>
      <w:r w:rsidR="006356D1">
        <w:rPr>
          <w:bCs/>
          <w:szCs w:val="20"/>
        </w:rPr>
        <w:t>c</w:t>
      </w:r>
      <w:r>
        <w:rPr>
          <w:bCs/>
          <w:szCs w:val="20"/>
        </w:rPr>
        <w:t>ích a</w:t>
      </w:r>
      <w:r w:rsidR="00E27A85">
        <w:rPr>
          <w:bCs/>
          <w:szCs w:val="20"/>
        </w:rPr>
        <w:t> </w:t>
      </w:r>
      <w:r>
        <w:rPr>
          <w:bCs/>
          <w:szCs w:val="20"/>
        </w:rPr>
        <w:t>obchodních podmínek, i kdyby nebyly výslovně popsány a to včetně nutných nákladů</w:t>
      </w:r>
      <w:r w:rsidR="006356D1">
        <w:rPr>
          <w:bCs/>
          <w:szCs w:val="20"/>
        </w:rPr>
        <w:t>, jejichž vynaložení dodavatelé předpokládají při plnění veřejné zakázky, zejména včetně dopravy a pojištění pro transport, poplatky , vedlejší náklady, například související s provozem objednatele, kurzové vlivy, obecný vývoj cen, apod. Nabídková cena je tedy cenou konečnou a nelze ji překročit vyjma změny daňových právních předpisů týkajících se DPH.</w:t>
      </w:r>
    </w:p>
    <w:p w14:paraId="0BDB6E80" w14:textId="4C3FA120" w:rsidR="006356D1" w:rsidRDefault="006356D1" w:rsidP="00C34850">
      <w:pPr>
        <w:rPr>
          <w:szCs w:val="20"/>
        </w:rPr>
      </w:pPr>
      <w:r>
        <w:rPr>
          <w:szCs w:val="20"/>
        </w:rPr>
        <w:t xml:space="preserve">Není-li účastník </w:t>
      </w:r>
      <w:r w:rsidR="00181163">
        <w:rPr>
          <w:szCs w:val="20"/>
        </w:rPr>
        <w:t>výběrového</w:t>
      </w:r>
      <w:r>
        <w:rPr>
          <w:szCs w:val="20"/>
        </w:rPr>
        <w:t xml:space="preserve"> řízení registrovaným plátcem DPH, potom tuto daň nevyčíslí a skutečnost, že není jejím plátcem, výslovně uvede v nabídce (v části, kde je vyčíslena nabídková cena). Zadavatel stanoví, že i kdyby nabídková cena nebyla rozlišena na cenu bez DPH a s DPH a účastník </w:t>
      </w:r>
      <w:r w:rsidR="00181163">
        <w:rPr>
          <w:szCs w:val="20"/>
        </w:rPr>
        <w:t>výběrového</w:t>
      </w:r>
      <w:r>
        <w:rPr>
          <w:szCs w:val="20"/>
        </w:rPr>
        <w:t xml:space="preserve"> řízení by se např. teprve po podání nabídky stal plátcem DPH, platí, že nabídková cena uvedená v</w:t>
      </w:r>
      <w:r w:rsidR="00E27A85">
        <w:rPr>
          <w:szCs w:val="20"/>
        </w:rPr>
        <w:t> </w:t>
      </w:r>
      <w:r>
        <w:rPr>
          <w:szCs w:val="20"/>
        </w:rPr>
        <w:t xml:space="preserve">nabídce v sobě již DPH zahrnovala. Účastník </w:t>
      </w:r>
      <w:r w:rsidR="00181163">
        <w:rPr>
          <w:szCs w:val="20"/>
        </w:rPr>
        <w:t>výběrového</w:t>
      </w:r>
      <w:r>
        <w:rPr>
          <w:szCs w:val="20"/>
        </w:rPr>
        <w:t xml:space="preserve"> řízení je tedy povinen příslušnou část nabídkové ceny odvést jako DPH a nemá vůči zadavateli z titulu DPH nárok na další plnění nad rámec nabídkové ceny.</w:t>
      </w:r>
    </w:p>
    <w:p w14:paraId="7C2AD713" w14:textId="15C41897" w:rsidR="006356D1" w:rsidRDefault="006356D1" w:rsidP="00C34850">
      <w:pPr>
        <w:rPr>
          <w:szCs w:val="20"/>
        </w:rPr>
      </w:pPr>
      <w:r>
        <w:rPr>
          <w:szCs w:val="20"/>
        </w:rPr>
        <w:t>Správné a profesionální odhadnutí veškerých nákladů zadavatel ze strany dodavatelů očekává a</w:t>
      </w:r>
      <w:r w:rsidR="00E27A85">
        <w:rPr>
          <w:szCs w:val="20"/>
        </w:rPr>
        <w:t> </w:t>
      </w:r>
      <w:r>
        <w:rPr>
          <w:szCs w:val="20"/>
        </w:rPr>
        <w:t>nad</w:t>
      </w:r>
      <w:r w:rsidR="00E27A85">
        <w:rPr>
          <w:szCs w:val="20"/>
        </w:rPr>
        <w:t> </w:t>
      </w:r>
      <w:r>
        <w:rPr>
          <w:szCs w:val="20"/>
        </w:rPr>
        <w:t>rámec nabídkové ceny nebude přípustná úhrada jakýchkoliv dodatečných či neplánovaných nákladů.</w:t>
      </w:r>
    </w:p>
    <w:p w14:paraId="1289E50C" w14:textId="54DB0A0F" w:rsidR="006356D1" w:rsidRDefault="006356D1" w:rsidP="00C34850">
      <w:pPr>
        <w:rPr>
          <w:szCs w:val="20"/>
        </w:rPr>
      </w:pPr>
      <w:r>
        <w:rPr>
          <w:szCs w:val="20"/>
        </w:rPr>
        <w:t xml:space="preserve">Zadavatel může vyloučit účastníka </w:t>
      </w:r>
      <w:r w:rsidR="00181163">
        <w:rPr>
          <w:szCs w:val="20"/>
        </w:rPr>
        <w:t>výběrovéh</w:t>
      </w:r>
      <w:r>
        <w:rPr>
          <w:szCs w:val="20"/>
        </w:rPr>
        <w:t xml:space="preserve">o řízení, pokud nabídka účastníka </w:t>
      </w:r>
      <w:r w:rsidR="00181163">
        <w:rPr>
          <w:szCs w:val="20"/>
        </w:rPr>
        <w:t>výběrového</w:t>
      </w:r>
      <w:r>
        <w:rPr>
          <w:szCs w:val="20"/>
        </w:rPr>
        <w:t xml:space="preserve"> řízení obsahuje mimořádně nízkou nabídkovou cenu, která nebyla účastníkem</w:t>
      </w:r>
      <w:r w:rsidR="00D819B0">
        <w:rPr>
          <w:szCs w:val="20"/>
        </w:rPr>
        <w:t xml:space="preserve"> výběrového</w:t>
      </w:r>
      <w:r>
        <w:rPr>
          <w:szCs w:val="20"/>
        </w:rPr>
        <w:t xml:space="preserve"> řízení zdůvodněna.</w:t>
      </w:r>
    </w:p>
    <w:p w14:paraId="721DB90A" w14:textId="77777777" w:rsidR="002C499A" w:rsidRDefault="002C499A" w:rsidP="00C34850">
      <w:pPr>
        <w:rPr>
          <w:szCs w:val="20"/>
        </w:rPr>
      </w:pPr>
    </w:p>
    <w:p w14:paraId="4F3EC0CA" w14:textId="77777777" w:rsidR="006356D1" w:rsidRDefault="006356D1" w:rsidP="000136BD">
      <w:pPr>
        <w:pStyle w:val="Nadpis1"/>
      </w:pPr>
      <w:r w:rsidRPr="006356D1">
        <w:t>DOBA A MÍSTO PLNĚNÍ</w:t>
      </w:r>
    </w:p>
    <w:p w14:paraId="2F5AFCFB" w14:textId="16353340" w:rsidR="006356D1" w:rsidRPr="00392202" w:rsidRDefault="006356D1" w:rsidP="000136BD">
      <w:pPr>
        <w:pStyle w:val="Nadpis2"/>
      </w:pPr>
      <w:r w:rsidRPr="00392202">
        <w:t>Místo plnění veřejné zakázky</w:t>
      </w:r>
    </w:p>
    <w:p w14:paraId="552A75A6" w14:textId="61EB7714" w:rsidR="006356D1" w:rsidRPr="00A07025" w:rsidRDefault="006356D1" w:rsidP="00A07025">
      <w:pPr>
        <w:rPr>
          <w:szCs w:val="20"/>
        </w:rPr>
      </w:pPr>
      <w:r w:rsidRPr="00A07025">
        <w:rPr>
          <w:szCs w:val="20"/>
        </w:rPr>
        <w:t>Místem realizace plnění veřejné zakázky je sídlo zadavatele.</w:t>
      </w:r>
    </w:p>
    <w:p w14:paraId="1455FDE4" w14:textId="44AC8C42" w:rsidR="006337FE" w:rsidRPr="00392202" w:rsidRDefault="006337FE" w:rsidP="000136BD">
      <w:pPr>
        <w:pStyle w:val="Nadpis2"/>
      </w:pPr>
      <w:r w:rsidRPr="00392202">
        <w:t>Doba plnění veřejné zakázky</w:t>
      </w:r>
    </w:p>
    <w:p w14:paraId="1B2197E3" w14:textId="5FB3084A" w:rsidR="000136BD" w:rsidRPr="008E0EEB" w:rsidRDefault="000136BD" w:rsidP="000136BD">
      <w:r w:rsidRPr="008E0EEB">
        <w:t>Začátek plnění:</w:t>
      </w:r>
      <w:r w:rsidRPr="008E0EEB">
        <w:tab/>
      </w:r>
      <w:r w:rsidRPr="008E0EEB">
        <w:tab/>
        <w:t xml:space="preserve">Nejpozději do 1 kalendářního týdne od </w:t>
      </w:r>
      <w:r w:rsidR="00BD7EAB">
        <w:t>předání vstupních podkladů (zadavatel předpokládá jejich předání neprodleně po nabytí účinnosti smlouvy)</w:t>
      </w:r>
      <w:r w:rsidRPr="008E0EEB">
        <w:t>.</w:t>
      </w:r>
    </w:p>
    <w:p w14:paraId="38E203CD" w14:textId="7251E65B" w:rsidR="00002904" w:rsidRDefault="00002904" w:rsidP="000136BD">
      <w:r>
        <w:t>Analýza a návrh:</w:t>
      </w:r>
      <w:r>
        <w:tab/>
        <w:t xml:space="preserve">Do </w:t>
      </w:r>
      <w:r w:rsidR="00480276">
        <w:t>3</w:t>
      </w:r>
      <w:r>
        <w:t xml:space="preserve"> měsíců </w:t>
      </w:r>
      <w:r w:rsidRPr="008E0EEB">
        <w:t xml:space="preserve">od </w:t>
      </w:r>
      <w:r w:rsidR="00BD7EAB">
        <w:t>začátku plnění.</w:t>
      </w:r>
      <w:r>
        <w:t xml:space="preserve"> </w:t>
      </w:r>
    </w:p>
    <w:p w14:paraId="72CCA033" w14:textId="27D3041E" w:rsidR="000136BD" w:rsidRPr="008E0EEB" w:rsidRDefault="000136BD" w:rsidP="000136BD">
      <w:r w:rsidRPr="008E0EEB">
        <w:t>Dodávka řešení:</w:t>
      </w:r>
      <w:r w:rsidRPr="008E0EEB">
        <w:tab/>
        <w:t xml:space="preserve">Do </w:t>
      </w:r>
      <w:r w:rsidR="00BD7EAB">
        <w:t>5</w:t>
      </w:r>
      <w:r w:rsidR="00BD7EAB" w:rsidRPr="008E0EEB">
        <w:t xml:space="preserve"> </w:t>
      </w:r>
      <w:r w:rsidRPr="008E0EEB">
        <w:t xml:space="preserve">měsíců od </w:t>
      </w:r>
      <w:r w:rsidR="00BD7EAB">
        <w:t>akceptace analýzy a návrhu.</w:t>
      </w:r>
    </w:p>
    <w:p w14:paraId="2F2AC255" w14:textId="6551C9E3" w:rsidR="000136BD" w:rsidRPr="008E0EEB" w:rsidRDefault="000136BD" w:rsidP="000136BD">
      <w:r w:rsidRPr="008E0EEB">
        <w:t>Testovací provoz:</w:t>
      </w:r>
      <w:r w:rsidRPr="008E0EEB">
        <w:tab/>
      </w:r>
      <w:r w:rsidR="00BD7EAB">
        <w:t>6</w:t>
      </w:r>
      <w:r w:rsidR="00BD7EAB" w:rsidRPr="008E0EEB">
        <w:t xml:space="preserve">0 </w:t>
      </w:r>
      <w:r w:rsidRPr="008E0EEB">
        <w:t>kalendářní</w:t>
      </w:r>
      <w:r w:rsidR="008E0EEB" w:rsidRPr="008E0EEB">
        <w:t>ch</w:t>
      </w:r>
      <w:r w:rsidRPr="008E0EEB">
        <w:t xml:space="preserve"> </w:t>
      </w:r>
      <w:r w:rsidR="008E0EEB" w:rsidRPr="008E0EEB">
        <w:t>dnů</w:t>
      </w:r>
    </w:p>
    <w:p w14:paraId="166E0FD2" w14:textId="572CFB96" w:rsidR="000136BD" w:rsidRDefault="000136BD" w:rsidP="000136BD">
      <w:r w:rsidRPr="008E0EEB">
        <w:t>Ukončení plnění:</w:t>
      </w:r>
      <w:r w:rsidRPr="008E0EEB">
        <w:tab/>
        <w:t xml:space="preserve">Do </w:t>
      </w:r>
      <w:r w:rsidR="00BD7EAB">
        <w:t>10</w:t>
      </w:r>
      <w:r w:rsidR="00BD7EAB" w:rsidRPr="008E0EEB">
        <w:t xml:space="preserve"> </w:t>
      </w:r>
      <w:r w:rsidRPr="008E0EEB">
        <w:t xml:space="preserve">kalendářních měsíců od </w:t>
      </w:r>
      <w:r w:rsidR="00BD7EAB">
        <w:t>začátku plnění.</w:t>
      </w:r>
    </w:p>
    <w:p w14:paraId="0821BFFC" w14:textId="77777777" w:rsidR="006337FE" w:rsidRDefault="006337FE" w:rsidP="006337FE">
      <w:pPr>
        <w:rPr>
          <w:szCs w:val="20"/>
        </w:rPr>
      </w:pPr>
    </w:p>
    <w:p w14:paraId="11CEEC75" w14:textId="377AF855" w:rsidR="006337FE" w:rsidRPr="00392202" w:rsidRDefault="000136BD" w:rsidP="000136BD">
      <w:pPr>
        <w:pStyle w:val="Nadpis1"/>
      </w:pPr>
      <w:r>
        <w:t xml:space="preserve">POSKYTNUTÍ A </w:t>
      </w:r>
      <w:r w:rsidRPr="00392202">
        <w:t>VYSVĚTLENÍ ZADÁVACÍCH PODMÍNEK</w:t>
      </w:r>
    </w:p>
    <w:p w14:paraId="71339EE8" w14:textId="77777777" w:rsidR="000136BD" w:rsidRPr="006337FE" w:rsidRDefault="000136BD" w:rsidP="000136BD">
      <w:pPr>
        <w:pStyle w:val="Nadpis2"/>
      </w:pPr>
      <w:r w:rsidRPr="006337FE">
        <w:t>Poskytnutí zadávací dokumentace</w:t>
      </w:r>
    </w:p>
    <w:p w14:paraId="6464120E" w14:textId="7C9F8D52" w:rsidR="000136BD" w:rsidRDefault="000136BD" w:rsidP="000136BD">
      <w:pPr>
        <w:spacing w:before="60" w:after="60"/>
        <w:rPr>
          <w:szCs w:val="20"/>
        </w:rPr>
      </w:pPr>
      <w:r>
        <w:rPr>
          <w:szCs w:val="20"/>
        </w:rPr>
        <w:t>Textová část zadávací dokumentace v elektronické podobě je všem dodavatelům k dispozici bez</w:t>
      </w:r>
      <w:r w:rsidR="00E27A85">
        <w:rPr>
          <w:szCs w:val="20"/>
        </w:rPr>
        <w:t> </w:t>
      </w:r>
      <w:r>
        <w:rPr>
          <w:szCs w:val="20"/>
        </w:rPr>
        <w:t xml:space="preserve">omezení přístupu na profilu zadavatele </w:t>
      </w:r>
      <w:hyperlink r:id="rId10" w:history="1">
        <w:r w:rsidR="00002904" w:rsidRPr="00281C38">
          <w:rPr>
            <w:rStyle w:val="Hypertextovodkaz"/>
          </w:rPr>
          <w:t>https://zakazky.mukolin.cz/contract_index.html</w:t>
        </w:r>
      </w:hyperlink>
      <w:r w:rsidR="00643541">
        <w:t>.</w:t>
      </w:r>
    </w:p>
    <w:p w14:paraId="6E1592F4" w14:textId="77777777" w:rsidR="000136BD" w:rsidRDefault="000136BD" w:rsidP="000136BD">
      <w:pPr>
        <w:spacing w:before="60" w:after="60"/>
        <w:rPr>
          <w:szCs w:val="20"/>
        </w:rPr>
      </w:pPr>
      <w:r>
        <w:rPr>
          <w:szCs w:val="20"/>
        </w:rPr>
        <w:t xml:space="preserve">Zadavatel upozorňuje dodavatele na skutečnost, že zadávací dokumentace je souhrnem požadavků zadavatele, a nikoliv konečným souhrnem veškerých požadavků vyplývajících z obecně známých </w:t>
      </w:r>
      <w:r>
        <w:rPr>
          <w:szCs w:val="20"/>
        </w:rPr>
        <w:lastRenderedPageBreak/>
        <w:t>platných právních předpisů a odborných norem. Dodavatel se tak musí při zpracování své nabídky vždy řídit nejen požadavky obsaženými v zadávací dokumentaci, ale též ustanoveními příslušných obecně závazných norem.</w:t>
      </w:r>
    </w:p>
    <w:p w14:paraId="4CB37BBF" w14:textId="77777777" w:rsidR="000136BD" w:rsidRDefault="000136BD" w:rsidP="000136BD">
      <w:pPr>
        <w:pStyle w:val="Nadpis2"/>
      </w:pPr>
      <w:r w:rsidRPr="006337FE">
        <w:t>Změna nebo doplnění zadávací dokumentace</w:t>
      </w:r>
    </w:p>
    <w:p w14:paraId="1C9F37D0" w14:textId="77777777" w:rsidR="000136BD" w:rsidRDefault="000136BD" w:rsidP="000136BD">
      <w:pPr>
        <w:pStyle w:val="Default"/>
        <w:jc w:val="both"/>
        <w:rPr>
          <w:sz w:val="20"/>
          <w:szCs w:val="20"/>
        </w:rPr>
      </w:pPr>
      <w:r>
        <w:rPr>
          <w:sz w:val="20"/>
          <w:szCs w:val="20"/>
        </w:rPr>
        <w:t xml:space="preserve">Zadávací podmínky obsažené v zadávací dokumentaci může zadavatel změnit nebo doplnit před uplynutím lhůty pro podání nabídek. Změna nebo doplnění zadávacích podmínek musí být uveřejněna nebo oznámena dodavatelům stejným způsobem jako zadávací podmínka, která byla změněna nebo doplněna. </w:t>
      </w:r>
    </w:p>
    <w:p w14:paraId="232CEFD8" w14:textId="72CF0D84" w:rsidR="000136BD" w:rsidRDefault="000136BD" w:rsidP="000136BD">
      <w:pPr>
        <w:rPr>
          <w:szCs w:val="20"/>
        </w:rPr>
      </w:pPr>
      <w:r w:rsidRPr="006337FE">
        <w:rPr>
          <w:szCs w:val="20"/>
        </w:rPr>
        <w:t xml:space="preserve">Pokud to povaha doplnění nebo změny zadávacích podmínek vyžaduje, zadavatel současně přiměřeně prodlouží lhůtu pro podání nabídek. V případě takové změny nebo doplnění zadávacích podmínek, která může rozšířit okruh možných účastníků </w:t>
      </w:r>
      <w:r>
        <w:rPr>
          <w:szCs w:val="20"/>
        </w:rPr>
        <w:t>veřejné zakázky</w:t>
      </w:r>
      <w:r w:rsidRPr="006337FE">
        <w:rPr>
          <w:szCs w:val="20"/>
        </w:rPr>
        <w:t>, prodlouží zadavatel lhůtu tak, aby od odeslání změny nebo doplnění zadávací dokumentace činila nejméně celou svou původní délku.</w:t>
      </w:r>
    </w:p>
    <w:p w14:paraId="0395A0A3" w14:textId="77777777" w:rsidR="000136BD" w:rsidRDefault="000136BD" w:rsidP="000136BD">
      <w:pPr>
        <w:pStyle w:val="Nadpis2"/>
      </w:pPr>
      <w:r w:rsidRPr="00FC3418">
        <w:t>Vysvětlení zadávací dokumentace</w:t>
      </w:r>
    </w:p>
    <w:p w14:paraId="0A681B48" w14:textId="3BA9A928" w:rsidR="00181163" w:rsidRPr="00392202" w:rsidRDefault="00181163" w:rsidP="00181163">
      <w:pPr>
        <w:pStyle w:val="Tabulkatext"/>
        <w:spacing w:after="120"/>
        <w:ind w:left="0"/>
        <w:jc w:val="both"/>
        <w:rPr>
          <w:rFonts w:ascii="Arial" w:hAnsi="Arial" w:cs="Arial"/>
          <w:szCs w:val="20"/>
        </w:rPr>
      </w:pPr>
      <w:r w:rsidRPr="00392202">
        <w:rPr>
          <w:rFonts w:ascii="Arial" w:hAnsi="Arial" w:cs="Arial"/>
          <w:szCs w:val="20"/>
        </w:rPr>
        <w:t xml:space="preserve">Účastníci jsou oprávněni po zadavateli požadovat vysvětlení zadávacích podmínek (odpovědi na dotaz) této veřejné zakázky. Písemná žádost musí být zadavateli doručena nejpozději 4 pracovní dny před uplynutím lhůty pro podání nabídek. Písemnou žádost mohou účastníci zasílat prostřednictvím </w:t>
      </w:r>
      <w:r w:rsidR="006962E6">
        <w:rPr>
          <w:rFonts w:ascii="Arial" w:hAnsi="Arial" w:cs="Arial"/>
          <w:szCs w:val="20"/>
        </w:rPr>
        <w:t xml:space="preserve">elektronického profilu zadavatele nebo prostřednictvím </w:t>
      </w:r>
      <w:r w:rsidRPr="00392202">
        <w:rPr>
          <w:rFonts w:ascii="Arial" w:hAnsi="Arial" w:cs="Arial"/>
          <w:szCs w:val="20"/>
        </w:rPr>
        <w:t xml:space="preserve">e-mailové zprávy kontaktní osobě zadavatele. Zadavatel nemá povinnost reagovat na žádosti o vysvětlení, které nebudou zaslány včas. </w:t>
      </w:r>
    </w:p>
    <w:p w14:paraId="56EB455D" w14:textId="19F94672" w:rsidR="00181163" w:rsidRPr="00392202" w:rsidRDefault="00181163" w:rsidP="00181163">
      <w:pPr>
        <w:pStyle w:val="Tabulkatext"/>
        <w:spacing w:after="120"/>
        <w:ind w:left="0"/>
        <w:jc w:val="both"/>
        <w:rPr>
          <w:rFonts w:ascii="Arial" w:hAnsi="Arial" w:cs="Arial"/>
          <w:szCs w:val="20"/>
        </w:rPr>
      </w:pPr>
      <w:r w:rsidRPr="00392202">
        <w:rPr>
          <w:rFonts w:ascii="Arial" w:hAnsi="Arial" w:cs="Arial"/>
          <w:szCs w:val="20"/>
        </w:rPr>
        <w:t>Zadavatel odešle vysvětlení zadávacích podmínek, případně související dokumenty, nejpozději do</w:t>
      </w:r>
      <w:r w:rsidR="00E27A85">
        <w:rPr>
          <w:rFonts w:ascii="Arial" w:hAnsi="Arial" w:cs="Arial"/>
          <w:szCs w:val="20"/>
        </w:rPr>
        <w:t> </w:t>
      </w:r>
      <w:r w:rsidRPr="00392202">
        <w:rPr>
          <w:rFonts w:ascii="Arial" w:hAnsi="Arial" w:cs="Arial"/>
          <w:szCs w:val="20"/>
        </w:rPr>
        <w:t>2</w:t>
      </w:r>
      <w:r w:rsidR="00E27A85">
        <w:rPr>
          <w:rFonts w:ascii="Arial" w:hAnsi="Arial" w:cs="Arial"/>
          <w:szCs w:val="20"/>
        </w:rPr>
        <w:t> </w:t>
      </w:r>
      <w:r w:rsidRPr="00392202">
        <w:rPr>
          <w:rFonts w:ascii="Arial" w:hAnsi="Arial" w:cs="Arial"/>
          <w:szCs w:val="20"/>
        </w:rPr>
        <w:t xml:space="preserve">pracovních dnů po doručení žádosti. </w:t>
      </w:r>
    </w:p>
    <w:p w14:paraId="62C45591" w14:textId="14B075AA" w:rsidR="00FC3418" w:rsidRDefault="00181163" w:rsidP="00181163">
      <w:pPr>
        <w:rPr>
          <w:rFonts w:cs="Arial"/>
          <w:szCs w:val="20"/>
        </w:rPr>
      </w:pPr>
      <w:r w:rsidRPr="00392202">
        <w:rPr>
          <w:rFonts w:cs="Arial"/>
          <w:szCs w:val="20"/>
        </w:rPr>
        <w:t>Zadavatel si vyhrazuje právo poskytnout vysvětlení zadávací dokumentace i bez předchozí žádosti účastníka.</w:t>
      </w:r>
    </w:p>
    <w:p w14:paraId="47E91DC3" w14:textId="77777777" w:rsidR="00181163" w:rsidRPr="00181163" w:rsidRDefault="00181163" w:rsidP="00181163">
      <w:pPr>
        <w:rPr>
          <w:rFonts w:cs="Arial"/>
          <w:szCs w:val="20"/>
        </w:rPr>
      </w:pPr>
    </w:p>
    <w:p w14:paraId="21138BC5" w14:textId="77777777" w:rsidR="00FC3418" w:rsidRDefault="00FC3418" w:rsidP="006962E6">
      <w:pPr>
        <w:pStyle w:val="Nadpis1"/>
      </w:pPr>
      <w:r w:rsidRPr="00FC3418">
        <w:t>OBCHODNÍ A PLATEBNÍ PODMÍNKY</w:t>
      </w:r>
    </w:p>
    <w:p w14:paraId="05E5D438" w14:textId="2B89F3BE" w:rsidR="00FC3418" w:rsidRDefault="00FC3418" w:rsidP="00FC3418">
      <w:pPr>
        <w:rPr>
          <w:szCs w:val="20"/>
        </w:rPr>
      </w:pPr>
      <w:r w:rsidRPr="006962E6">
        <w:rPr>
          <w:szCs w:val="20"/>
        </w:rPr>
        <w:t>Obchodní podmínky zadavatele včetně platebních jsou připojeny ve formě závazného návrhu</w:t>
      </w:r>
      <w:r w:rsidR="006962E6">
        <w:rPr>
          <w:szCs w:val="20"/>
        </w:rPr>
        <w:t xml:space="preserve"> Smlouvy o dílo a o podpoře provozu (příloha č. 5) </w:t>
      </w:r>
      <w:r w:rsidRPr="006962E6">
        <w:rPr>
          <w:szCs w:val="20"/>
        </w:rPr>
        <w:t>a jsou v celém svém rozsahu pro dodavatele závazné. Text návrhu Smlouvy o dílo a o podpoře provozu (dále také jen „Smlouva“) bude sloužit k uzavření smluvního vztahu navazujícího na toto zadávací řízení.</w:t>
      </w:r>
    </w:p>
    <w:p w14:paraId="5D0B1F0A" w14:textId="77777777" w:rsidR="00FC3418" w:rsidRDefault="00FC3418" w:rsidP="00FC3418">
      <w:pPr>
        <w:rPr>
          <w:szCs w:val="20"/>
        </w:rPr>
      </w:pPr>
      <w:r>
        <w:rPr>
          <w:szCs w:val="20"/>
        </w:rPr>
        <w:t>Text Smlouvy dodavatel fyzicky do nabídky nepřikládá, pouze v nabídce písemně prohlásí, že s tímto zněním Smlouvy souhlasí, a to např. odkazem na poslední verzi textu Smlouvy uveřejněné na profilu zadavatele. Pro tyto účely lze využít prohlášení, které je součástí krycího listu (příloha č. 2).</w:t>
      </w:r>
    </w:p>
    <w:p w14:paraId="0EB2B367" w14:textId="0AD0AE84" w:rsidR="00FC3418" w:rsidRDefault="00FC3418" w:rsidP="00FC3418">
      <w:pPr>
        <w:rPr>
          <w:szCs w:val="20"/>
        </w:rPr>
      </w:pPr>
      <w:r>
        <w:rPr>
          <w:szCs w:val="20"/>
        </w:rPr>
        <w:t>Vzor Smlouvy obsahuje „žlutě podbarvená“ místa, která budou před uzavřením Smlouvy dle nabídky vybraného dodavatele. Smlouva bude před podpisem upravena podle toho, kdo se stane vybraným dodavatelem.</w:t>
      </w:r>
    </w:p>
    <w:p w14:paraId="7899380D" w14:textId="02C3A478" w:rsidR="00FC3418" w:rsidRDefault="00FC3418" w:rsidP="00FC3418">
      <w:pPr>
        <w:rPr>
          <w:szCs w:val="20"/>
        </w:rPr>
      </w:pPr>
      <w:r>
        <w:rPr>
          <w:szCs w:val="20"/>
        </w:rPr>
        <w:t xml:space="preserve">Veškeré obchodní a platební podmínky určené zadavatelem v této </w:t>
      </w:r>
      <w:r w:rsidR="002548D8">
        <w:rPr>
          <w:szCs w:val="20"/>
        </w:rPr>
        <w:t>Výzvě</w:t>
      </w:r>
      <w:r>
        <w:rPr>
          <w:szCs w:val="20"/>
        </w:rPr>
        <w:t xml:space="preserve"> jsou zadavatelem stanoveny jako minimální a závazné. Účastníci </w:t>
      </w:r>
      <w:r w:rsidR="002548D8">
        <w:rPr>
          <w:szCs w:val="20"/>
        </w:rPr>
        <w:t xml:space="preserve">výběrového </w:t>
      </w:r>
      <w:r>
        <w:rPr>
          <w:szCs w:val="20"/>
        </w:rPr>
        <w:t>řízení jsou povinni respektovat a ve svých nabídkách splnit veškeré podmínky a požadavky zadavatele vymezené zadávacími podmínkami a plně respektovat podmínky uvedené v návrhu Smlouvy.</w:t>
      </w:r>
    </w:p>
    <w:p w14:paraId="29084F6C" w14:textId="0969CB3E" w:rsidR="00FC3418" w:rsidRPr="00FC3418" w:rsidRDefault="00FC3418" w:rsidP="00FC3418">
      <w:pPr>
        <w:rPr>
          <w:b/>
        </w:rPr>
      </w:pPr>
      <w:r w:rsidRPr="006962E6">
        <w:rPr>
          <w:szCs w:val="20"/>
        </w:rPr>
        <w:t>Nedílnou součástí návrhu Smlouvy bude harmonogram plnění, specifikace technického řešení a</w:t>
      </w:r>
      <w:r w:rsidR="00E27A85">
        <w:rPr>
          <w:szCs w:val="20"/>
        </w:rPr>
        <w:t> </w:t>
      </w:r>
      <w:r>
        <w:rPr>
          <w:szCs w:val="20"/>
        </w:rPr>
        <w:t>položkový rozpočet, které budou obsaženy již jako součást nabídky vybraného dodavatele</w:t>
      </w:r>
      <w:r w:rsidR="006C3757">
        <w:rPr>
          <w:szCs w:val="20"/>
        </w:rPr>
        <w:t>.</w:t>
      </w:r>
    </w:p>
    <w:p w14:paraId="3C9EE740" w14:textId="77777777" w:rsidR="00882EBF" w:rsidRDefault="00882EBF" w:rsidP="00FC3418">
      <w:pPr>
        <w:rPr>
          <w:szCs w:val="20"/>
        </w:rPr>
      </w:pPr>
    </w:p>
    <w:p w14:paraId="54E73590" w14:textId="77777777" w:rsidR="00FC3418" w:rsidRPr="00FC3418" w:rsidRDefault="00FC3418" w:rsidP="006962E6">
      <w:pPr>
        <w:pStyle w:val="Nadpis1"/>
      </w:pPr>
      <w:r w:rsidRPr="00FC3418">
        <w:lastRenderedPageBreak/>
        <w:t>POŽADAVKY NA KVALIFIKACI</w:t>
      </w:r>
    </w:p>
    <w:p w14:paraId="7BB46444" w14:textId="77777777" w:rsidR="00FC3418" w:rsidRDefault="00FC3418" w:rsidP="006962E6">
      <w:pPr>
        <w:pStyle w:val="Nadpis2"/>
      </w:pPr>
      <w:r w:rsidRPr="00FC3418">
        <w:t>Požadavky zadavatele na kvalifikaci dodavatele</w:t>
      </w:r>
    </w:p>
    <w:p w14:paraId="4BC5A5F6" w14:textId="77777777" w:rsidR="00FC3418" w:rsidRDefault="00FC3418" w:rsidP="006962E6">
      <w:r>
        <w:t xml:space="preserve">Kvalifikovaným pro plnění veřejné zakázky je dodavatel, který prokáže splnění: </w:t>
      </w:r>
    </w:p>
    <w:p w14:paraId="787CB684" w14:textId="05AB9D11" w:rsidR="00FC3418" w:rsidRDefault="00FC3418" w:rsidP="004C53B0">
      <w:pPr>
        <w:pStyle w:val="Odstavecseseznamem"/>
        <w:numPr>
          <w:ilvl w:val="0"/>
          <w:numId w:val="2"/>
        </w:numPr>
        <w:spacing w:after="120"/>
        <w:ind w:left="714" w:hanging="357"/>
        <w:contextualSpacing w:val="0"/>
      </w:pPr>
      <w:r>
        <w:t xml:space="preserve">základní způsobilosti (analogicky k § 74 ZZVZ); </w:t>
      </w:r>
    </w:p>
    <w:p w14:paraId="6372D239" w14:textId="7D39A51B" w:rsidR="00FC3418" w:rsidRDefault="00FC3418" w:rsidP="004C53B0">
      <w:pPr>
        <w:pStyle w:val="Odstavecseseznamem"/>
        <w:numPr>
          <w:ilvl w:val="0"/>
          <w:numId w:val="2"/>
        </w:numPr>
        <w:spacing w:after="120"/>
        <w:ind w:left="714" w:hanging="357"/>
        <w:contextualSpacing w:val="0"/>
      </w:pPr>
      <w:r>
        <w:t xml:space="preserve">profesní způsobilosti (analogicky k § 77 ZZVZ); </w:t>
      </w:r>
    </w:p>
    <w:p w14:paraId="46F7C0AE" w14:textId="14540D6A" w:rsidR="00FC3418" w:rsidRDefault="00FC3418" w:rsidP="004C53B0">
      <w:pPr>
        <w:pStyle w:val="Odstavecseseznamem"/>
        <w:numPr>
          <w:ilvl w:val="0"/>
          <w:numId w:val="2"/>
        </w:numPr>
        <w:spacing w:after="120"/>
        <w:ind w:left="714" w:hanging="357"/>
        <w:contextualSpacing w:val="0"/>
      </w:pPr>
      <w:r>
        <w:t xml:space="preserve">technické kvalifikace (analogicky k § 79 ZZVZ). </w:t>
      </w:r>
    </w:p>
    <w:p w14:paraId="1F2E0E57" w14:textId="77777777" w:rsidR="00FC3418" w:rsidRDefault="00FC3418" w:rsidP="006962E6">
      <w:pPr>
        <w:pStyle w:val="Nadpis2"/>
      </w:pPr>
      <w:r w:rsidRPr="00FC3418">
        <w:t>Kvalifikace v případě společné účasti dodavatelů</w:t>
      </w:r>
    </w:p>
    <w:p w14:paraId="44E8D567" w14:textId="77777777" w:rsidR="00FC3418" w:rsidRDefault="00FC3418" w:rsidP="006962E6">
      <w:r>
        <w:t>V případě společné účasti dodavatelů prokazuje základní způsobilost a profesní způsobilost analogicky k postupu dle § 77 odst. 1 ZZVZ každý dodavatel samostatně (viz požadavky uvedené dále).</w:t>
      </w:r>
    </w:p>
    <w:p w14:paraId="14AA9BFA" w14:textId="77777777" w:rsidR="00FC3418" w:rsidRDefault="00FC3418" w:rsidP="006962E6">
      <w:pPr>
        <w:pStyle w:val="Nadpis2"/>
      </w:pPr>
      <w:r w:rsidRPr="00FC3418">
        <w:t>Prokázání kvalifikace prostřednictvím jiných osob</w:t>
      </w:r>
    </w:p>
    <w:p w14:paraId="702E794B" w14:textId="2B7965FB" w:rsidR="00FC3418" w:rsidRDefault="00FC3418" w:rsidP="00FC3418">
      <w:pPr>
        <w:rPr>
          <w:szCs w:val="20"/>
        </w:rPr>
      </w:pPr>
      <w:r>
        <w:rPr>
          <w:szCs w:val="20"/>
        </w:rPr>
        <w:t>Dodavatel může (</w:t>
      </w:r>
      <w:r w:rsidR="00002904">
        <w:rPr>
          <w:szCs w:val="20"/>
        </w:rPr>
        <w:t xml:space="preserve">analogicky k </w:t>
      </w:r>
      <w:r>
        <w:rPr>
          <w:szCs w:val="20"/>
        </w:rPr>
        <w:t>ust. § 83 ZZVZ) prokázat určitou část technické kvalifikace nebo profesní způsobilosti (s výjimkou kritéria podle ust. § 77 odst. 1 ZZVZ) prostřednictvím jiných osob. Dodavatel je</w:t>
      </w:r>
      <w:r w:rsidR="00E27A85">
        <w:rPr>
          <w:szCs w:val="20"/>
        </w:rPr>
        <w:t> </w:t>
      </w:r>
      <w:r>
        <w:rPr>
          <w:szCs w:val="20"/>
        </w:rPr>
        <w:t>v takovém případě povinen zadavateli předložit:</w:t>
      </w:r>
    </w:p>
    <w:p w14:paraId="3592E5B2" w14:textId="0C436E5F" w:rsidR="00FC3418" w:rsidRDefault="00FC3418" w:rsidP="004C53B0">
      <w:pPr>
        <w:pStyle w:val="Odstavecseseznamem"/>
        <w:numPr>
          <w:ilvl w:val="0"/>
          <w:numId w:val="3"/>
        </w:numPr>
        <w:spacing w:after="120"/>
        <w:ind w:left="714" w:hanging="357"/>
        <w:contextualSpacing w:val="0"/>
      </w:pPr>
      <w:r>
        <w:t xml:space="preserve">doklady prokazující splnění profesní způsobilosti jinou osobou, </w:t>
      </w:r>
    </w:p>
    <w:p w14:paraId="5F82B9D3" w14:textId="30A9235C" w:rsidR="00FC3418" w:rsidRDefault="00FC3418" w:rsidP="004C53B0">
      <w:pPr>
        <w:pStyle w:val="Odstavecseseznamem"/>
        <w:numPr>
          <w:ilvl w:val="0"/>
          <w:numId w:val="3"/>
        </w:numPr>
        <w:spacing w:after="120"/>
        <w:ind w:left="714" w:hanging="357"/>
        <w:contextualSpacing w:val="0"/>
      </w:pPr>
      <w:r>
        <w:t xml:space="preserve">doklady prokazující splnění chybějící části kvalifikace prostřednictvím jiné osoby, </w:t>
      </w:r>
    </w:p>
    <w:p w14:paraId="351FBD87" w14:textId="52306492" w:rsidR="00FC3418" w:rsidRDefault="00FC3418" w:rsidP="004C53B0">
      <w:pPr>
        <w:pStyle w:val="Odstavecseseznamem"/>
        <w:numPr>
          <w:ilvl w:val="0"/>
          <w:numId w:val="3"/>
        </w:numPr>
        <w:spacing w:after="120"/>
        <w:ind w:left="714" w:hanging="357"/>
        <w:contextualSpacing w:val="0"/>
      </w:pPr>
      <w:r>
        <w:t xml:space="preserve">doklady o splnění základní způsobilosti jinou osobou a </w:t>
      </w:r>
    </w:p>
    <w:p w14:paraId="1DB6B0C6" w14:textId="15C90D0C" w:rsidR="00FC3418" w:rsidRDefault="00FC3418" w:rsidP="004C53B0">
      <w:pPr>
        <w:pStyle w:val="Odstavecseseznamem"/>
        <w:numPr>
          <w:ilvl w:val="0"/>
          <w:numId w:val="3"/>
        </w:numPr>
        <w:spacing w:after="120"/>
        <w:ind w:left="714" w:hanging="357"/>
        <w:contextualSpacing w:val="0"/>
      </w:pPr>
      <w:r>
        <w:t>písemný závazek jiné osoby k poskytnutí plnění určeného k plnění veřejné zakázky nebo k</w:t>
      </w:r>
      <w:r w:rsidR="00E27A85">
        <w:t> </w:t>
      </w:r>
      <w:r>
        <w:t>poskytnutí věcí nebo práv, s nimiž bude dodavatel oprávněn disponovat v rámci plnění veřejné zakázky, a to alespoň v rozsahu, v jakém jiná osoba prokázala kvalifikaci za dodavatele.</w:t>
      </w:r>
    </w:p>
    <w:p w14:paraId="47FB1A74" w14:textId="77777777" w:rsidR="00FC3418" w:rsidRDefault="00FC3418" w:rsidP="006962E6">
      <w:r>
        <w:t>Prokazuje-li dodavatel prostřednictvím jiné osoby kvalifikaci, musí dokument podle odstavce d) obsahovat závazek, že jiná osoba bude vykonávat služby, ke kterým se prokazované kritérium kvalifikace vztahuje.</w:t>
      </w:r>
    </w:p>
    <w:p w14:paraId="3E3808A2" w14:textId="77777777" w:rsidR="00FC3418" w:rsidRDefault="00FC3418" w:rsidP="006962E6">
      <w:pPr>
        <w:pStyle w:val="Nadpis2"/>
      </w:pPr>
      <w:r w:rsidRPr="00FC3418">
        <w:t>Doba prokazování splnění kvalifikace / pravost a stáří dokladů</w:t>
      </w:r>
    </w:p>
    <w:p w14:paraId="06AFFA9C" w14:textId="3B7492EE" w:rsidR="00FC3418" w:rsidRDefault="00FC3418" w:rsidP="00FC3418">
      <w:pPr>
        <w:rPr>
          <w:szCs w:val="20"/>
        </w:rPr>
      </w:pPr>
      <w:r>
        <w:rPr>
          <w:szCs w:val="20"/>
        </w:rPr>
        <w:t>Doklady prokazující profesní způsobilost musí prokazovat splnění požadovaného kritéria způsobilosti nejpozději v době 3 měsíců přede dnem zahájení</w:t>
      </w:r>
      <w:r w:rsidR="00D819B0">
        <w:rPr>
          <w:szCs w:val="20"/>
        </w:rPr>
        <w:t xml:space="preserve"> výběrového </w:t>
      </w:r>
      <w:r>
        <w:rPr>
          <w:szCs w:val="20"/>
        </w:rPr>
        <w:t>řízení.</w:t>
      </w:r>
    </w:p>
    <w:p w14:paraId="282DD84A" w14:textId="73CF1229" w:rsidR="00FC3418" w:rsidRDefault="00FC3418" w:rsidP="00FC3418">
      <w:pPr>
        <w:rPr>
          <w:szCs w:val="20"/>
        </w:rPr>
      </w:pPr>
      <w:r>
        <w:rPr>
          <w:szCs w:val="20"/>
        </w:rPr>
        <w:t>Doklady prokazující splnění kvalifikace je dodavatel oprávněn předložit ve formě čestného prohlášení (základní způsobilost), v</w:t>
      </w:r>
      <w:r w:rsidR="00002904">
        <w:rPr>
          <w:szCs w:val="20"/>
        </w:rPr>
        <w:t xml:space="preserve"> prosté </w:t>
      </w:r>
      <w:r>
        <w:rPr>
          <w:szCs w:val="20"/>
        </w:rPr>
        <w:t>kopii (profesní způsobilost) a ve formě seznamu podepsaného osobou oprávněnou jednat za dodavatele (technická kvalifikace).</w:t>
      </w:r>
    </w:p>
    <w:p w14:paraId="120C74D6" w14:textId="77777777" w:rsidR="00FC3418" w:rsidRDefault="00FC3418" w:rsidP="006962E6">
      <w:pPr>
        <w:pStyle w:val="Nadpis2"/>
      </w:pPr>
      <w:r w:rsidRPr="00FC3418">
        <w:t>Základní způsobilost</w:t>
      </w:r>
    </w:p>
    <w:p w14:paraId="02EAF174" w14:textId="77777777" w:rsidR="00FC3418" w:rsidRDefault="00FC3418" w:rsidP="00FC3418">
      <w:pPr>
        <w:rPr>
          <w:szCs w:val="20"/>
        </w:rPr>
      </w:pPr>
      <w:r>
        <w:rPr>
          <w:b/>
          <w:bCs/>
          <w:szCs w:val="20"/>
        </w:rPr>
        <w:t xml:space="preserve">Způsobilým je </w:t>
      </w:r>
      <w:r>
        <w:rPr>
          <w:szCs w:val="20"/>
        </w:rPr>
        <w:t>dodavatel, který:</w:t>
      </w:r>
    </w:p>
    <w:p w14:paraId="7BB51090" w14:textId="5CDCBC81" w:rsidR="00FC3418" w:rsidRDefault="00FC3418" w:rsidP="004C53B0">
      <w:pPr>
        <w:pStyle w:val="Odstavecseseznamem"/>
        <w:numPr>
          <w:ilvl w:val="0"/>
          <w:numId w:val="4"/>
        </w:numPr>
        <w:spacing w:after="120"/>
        <w:contextualSpacing w:val="0"/>
      </w:pPr>
      <w:r>
        <w:t xml:space="preserve">nebyl v zemi svého sídla v posledních 5 letech před zahájením </w:t>
      </w:r>
      <w:r w:rsidR="00D819B0">
        <w:t>výběrového</w:t>
      </w:r>
      <w:r>
        <w:t xml:space="preserve"> řízení pravomocně odsouzen pro trestný čin uvedený v příloze č. 3 ZZVZ nebo obdobný trestný čin podle právního řádu země sídla dodavatele; k zahlazeným odsouzením se nepřihlíží, </w:t>
      </w:r>
    </w:p>
    <w:p w14:paraId="6C495A33" w14:textId="4519A7AC" w:rsidR="00FC3418" w:rsidRDefault="00FC3418" w:rsidP="004C53B0">
      <w:pPr>
        <w:pStyle w:val="Odstavecseseznamem"/>
        <w:numPr>
          <w:ilvl w:val="0"/>
          <w:numId w:val="4"/>
        </w:numPr>
        <w:spacing w:after="120"/>
        <w:contextualSpacing w:val="0"/>
      </w:pPr>
      <w:r>
        <w:t xml:space="preserve">nemá v České republice nebo v zemi svého sídla v evidenci daní zachycen splatný daňový nedoplatek, </w:t>
      </w:r>
    </w:p>
    <w:p w14:paraId="5516536F" w14:textId="526EBF09" w:rsidR="00FC3418" w:rsidRDefault="00FC3418" w:rsidP="004C53B0">
      <w:pPr>
        <w:pStyle w:val="Odstavecseseznamem"/>
        <w:numPr>
          <w:ilvl w:val="0"/>
          <w:numId w:val="4"/>
        </w:numPr>
        <w:spacing w:after="120"/>
        <w:contextualSpacing w:val="0"/>
      </w:pPr>
      <w:r>
        <w:t>nemá v České republice nebo v zemi svého sídla splatný nedoplatek na pojistném nebo na</w:t>
      </w:r>
      <w:r w:rsidR="00E27A85">
        <w:t> </w:t>
      </w:r>
      <w:r>
        <w:t xml:space="preserve">penále na veřejné zdravotní pojištění, </w:t>
      </w:r>
    </w:p>
    <w:p w14:paraId="548B9B5F" w14:textId="07BCC21B" w:rsidR="00FC3418" w:rsidRDefault="00FC3418" w:rsidP="004C53B0">
      <w:pPr>
        <w:pStyle w:val="Odstavecseseznamem"/>
        <w:numPr>
          <w:ilvl w:val="0"/>
          <w:numId w:val="4"/>
        </w:numPr>
        <w:spacing w:after="120"/>
        <w:contextualSpacing w:val="0"/>
      </w:pPr>
      <w:r>
        <w:t>nemá v České republice nebo v zemi svého sídla splatný nedoplatek na pojistném nebo na</w:t>
      </w:r>
      <w:r w:rsidR="00E27A85">
        <w:t> </w:t>
      </w:r>
      <w:r>
        <w:t xml:space="preserve">penále na sociální zabezpečení a příspěvku na státní politiku zaměstnanosti, </w:t>
      </w:r>
    </w:p>
    <w:p w14:paraId="10A8A63A" w14:textId="2D2724E5" w:rsidR="00FC3418" w:rsidRDefault="00FC3418" w:rsidP="004C53B0">
      <w:pPr>
        <w:pStyle w:val="Odstavecseseznamem"/>
        <w:numPr>
          <w:ilvl w:val="0"/>
          <w:numId w:val="4"/>
        </w:numPr>
        <w:spacing w:after="120"/>
        <w:contextualSpacing w:val="0"/>
      </w:pPr>
      <w:r>
        <w:lastRenderedPageBreak/>
        <w:t xml:space="preserve">není v likvidaci, proti němuž nebylo vydáno rozhodnutí o úpadku, vůči němuž nebyla nařízena nucená správa podle jiného právního předpisu nebo v obdobné situaci podle právního řádu země sídla dodavatele. </w:t>
      </w:r>
    </w:p>
    <w:p w14:paraId="0DE2EB9D" w14:textId="77777777" w:rsidR="00FC3418" w:rsidRDefault="00FC3418" w:rsidP="006962E6">
      <w:r>
        <w:t>Je-li dodavatelem právnická osoba, musí podmínku podle předchozího odstavce splňovat tato právnická osoba a zároveň každý člen statutárního orgánu. Je-li členem statutárního orgánu dodavatele právnická osoba, musí podmínku podle písm. a) splňovat tato právnická osoba, každý člen statutárního orgánu této právnické osoby a osoba zastupující tuto právnickou osobu v statutárním orgánu dodavatele.</w:t>
      </w:r>
    </w:p>
    <w:p w14:paraId="1E6C0749" w14:textId="77777777" w:rsidR="00FC3418" w:rsidRDefault="00FC3418" w:rsidP="006962E6">
      <w:r>
        <w:t>Je-li dodavatelem pobočka závodu zahraniční právnické osoby, musí podmínku podle písm. a) splňovat tato právnická osoba a vedoucí pobočky závodu. Je-li dodavatelem pobočka závodu české právnické osoby, musí podmínku podle písm. a) splňovat osoby uvedené v předchozím odstavci a vedoucí pobočky závodu.</w:t>
      </w:r>
    </w:p>
    <w:p w14:paraId="556476DD" w14:textId="77777777" w:rsidR="00FC3418" w:rsidRPr="006962E6" w:rsidRDefault="00FC3418" w:rsidP="006962E6">
      <w:pPr>
        <w:rPr>
          <w:b/>
        </w:rPr>
      </w:pPr>
      <w:r w:rsidRPr="006962E6">
        <w:rPr>
          <w:b/>
        </w:rPr>
        <w:t>Dodavatel prokazuje splnění podmínek základní způsobilosti ve vztahu k České republice předložením písemného čestného prohlášení podle vzoru uvedeného v příloze č. 3.</w:t>
      </w:r>
    </w:p>
    <w:p w14:paraId="0FDDEC6D" w14:textId="77777777" w:rsidR="00996488" w:rsidRPr="00996488" w:rsidRDefault="00996488" w:rsidP="006962E6">
      <w:pPr>
        <w:pStyle w:val="Nadpis2"/>
      </w:pPr>
      <w:r w:rsidRPr="00996488">
        <w:t>Profesní způsobilost</w:t>
      </w:r>
    </w:p>
    <w:p w14:paraId="2812718C" w14:textId="1A2069BE" w:rsidR="00996488" w:rsidRDefault="00996488" w:rsidP="006962E6">
      <w:r>
        <w:t>Dodavatel prokazuje splnění profesní způsobilosti ve vztahu k České republice předložením výpisu z</w:t>
      </w:r>
      <w:r w:rsidR="00E27A85">
        <w:t> </w:t>
      </w:r>
      <w:r>
        <w:t xml:space="preserve">obchodního rejstříku nebo jiné obdobné evidence, pokud jiný právní předpis zápis do takové evidence vyžaduje. </w:t>
      </w:r>
    </w:p>
    <w:p w14:paraId="71B586AC" w14:textId="77777777" w:rsidR="00392202" w:rsidRDefault="00996488" w:rsidP="00392202">
      <w:pPr>
        <w:rPr>
          <w:szCs w:val="20"/>
        </w:rPr>
      </w:pPr>
      <w:r w:rsidRPr="00996488">
        <w:rPr>
          <w:szCs w:val="20"/>
        </w:rPr>
        <w:t>Dodavatel prokazuje splnění podmínek profesní způsobilosti předložením originálu, ověřené kopie nebo prosté kopie výpisu z příslušného rejstříku nebo evidence.</w:t>
      </w:r>
    </w:p>
    <w:p w14:paraId="6B4CC32A" w14:textId="77777777" w:rsidR="00392202" w:rsidRDefault="00CB63C4" w:rsidP="00392202">
      <w:pPr>
        <w:rPr>
          <w:rFonts w:cs="Arial"/>
          <w:szCs w:val="20"/>
        </w:rPr>
      </w:pPr>
      <w:r>
        <w:rPr>
          <w:rFonts w:cs="Arial"/>
          <w:szCs w:val="20"/>
        </w:rPr>
        <w:t>Ú</w:t>
      </w:r>
      <w:r w:rsidR="0090264B" w:rsidRPr="003838DC">
        <w:rPr>
          <w:rFonts w:cs="Arial"/>
          <w:szCs w:val="20"/>
        </w:rPr>
        <w:t>častník může rovněž prokázat splnění profesní způsobilosti odkazem na odpovídající informace vedené v informačním systému veřejné správy</w:t>
      </w:r>
      <w:r w:rsidR="0090264B" w:rsidRPr="003838DC">
        <w:rPr>
          <w:rFonts w:cs="Arial"/>
          <w:szCs w:val="20"/>
          <w:vertAlign w:val="superscript"/>
        </w:rPr>
        <w:footnoteReference w:id="1"/>
      </w:r>
      <w:r w:rsidR="0090264B" w:rsidRPr="003838DC">
        <w:rPr>
          <w:rFonts w:cs="Arial"/>
          <w:szCs w:val="20"/>
        </w:rPr>
        <w:t xml:space="preserve"> nebo v obdobném systému vedeném v jiném členském státu (ve smyslu § 6 odst. 3 ZZVZ). Takový odkaz musí obsahovat internetovou adresu, kde jsou informace o dodavateli dostupné neomezeným dálkovým přístupem, a údaje pro přihlášení a vyhledání požadované informace, jsou-li takové údaje nezbytné;</w:t>
      </w:r>
    </w:p>
    <w:p w14:paraId="05A89518" w14:textId="624BB6DA" w:rsidR="0090264B" w:rsidRPr="00392202" w:rsidRDefault="00CB63C4" w:rsidP="00392202">
      <w:pPr>
        <w:rPr>
          <w:szCs w:val="20"/>
        </w:rPr>
      </w:pPr>
      <w:r>
        <w:rPr>
          <w:rFonts w:cs="Arial"/>
          <w:szCs w:val="20"/>
        </w:rPr>
        <w:t>V</w:t>
      </w:r>
      <w:r w:rsidR="0090264B" w:rsidRPr="003838DC">
        <w:rPr>
          <w:rFonts w:cs="Arial"/>
          <w:szCs w:val="20"/>
        </w:rPr>
        <w:t>ýpis z obchodního rejstříku je tedy možné nahradit odkazem na konkrétní internetovou adresu „Veřejného rejstříku a Sbírky listin“ (</w:t>
      </w:r>
      <w:hyperlink r:id="rId11" w:history="1">
        <w:r w:rsidR="0090264B" w:rsidRPr="003838DC">
          <w:rPr>
            <w:rFonts w:cs="Arial"/>
            <w:color w:val="0000FF"/>
            <w:szCs w:val="20"/>
            <w:u w:val="single"/>
          </w:rPr>
          <w:t>https://or.justice.cz/ias/ui/rejstrik</w:t>
        </w:r>
      </w:hyperlink>
      <w:r w:rsidR="0090264B" w:rsidRPr="003838DC">
        <w:rPr>
          <w:rFonts w:cs="Arial"/>
          <w:color w:val="0000FF"/>
          <w:szCs w:val="20"/>
          <w:u w:val="single"/>
        </w:rPr>
        <w:t>)</w:t>
      </w:r>
      <w:r w:rsidR="0090264B" w:rsidRPr="003838DC">
        <w:rPr>
          <w:rFonts w:cs="Arial"/>
          <w:szCs w:val="20"/>
        </w:rPr>
        <w:t>, na kterém jsou informace o dodavateli dostupné. Obdobně je možné nahradit výpis ze živnostenského rejstříku odkazem na</w:t>
      </w:r>
      <w:r w:rsidR="00E27A85">
        <w:rPr>
          <w:rFonts w:cs="Arial"/>
          <w:szCs w:val="20"/>
        </w:rPr>
        <w:t> </w:t>
      </w:r>
      <w:r w:rsidR="0090264B" w:rsidRPr="003838DC">
        <w:rPr>
          <w:rFonts w:cs="Arial"/>
          <w:szCs w:val="20"/>
        </w:rPr>
        <w:t>konkrétní internetovou adresu „Registru živnostenského podnikání“ (</w:t>
      </w:r>
      <w:hyperlink r:id="rId12" w:history="1">
        <w:r w:rsidR="0090264B" w:rsidRPr="003838DC">
          <w:rPr>
            <w:rFonts w:cs="Arial"/>
            <w:color w:val="0000FF"/>
            <w:szCs w:val="20"/>
            <w:u w:val="single"/>
          </w:rPr>
          <w:t>http://www.rzp.cz/</w:t>
        </w:r>
      </w:hyperlink>
      <w:r w:rsidR="0090264B" w:rsidRPr="003838DC">
        <w:rPr>
          <w:rFonts w:cs="Arial"/>
          <w:szCs w:val="20"/>
        </w:rPr>
        <w:t>).</w:t>
      </w:r>
    </w:p>
    <w:p w14:paraId="61844322" w14:textId="77777777" w:rsidR="00996488" w:rsidRPr="00996488" w:rsidRDefault="00996488" w:rsidP="006962E6">
      <w:pPr>
        <w:pStyle w:val="Nadpis2"/>
      </w:pPr>
      <w:r w:rsidRPr="00996488">
        <w:t>Technická kvalifikace</w:t>
      </w:r>
    </w:p>
    <w:p w14:paraId="2A104C30" w14:textId="77777777" w:rsidR="00996488" w:rsidRPr="005D78C4" w:rsidRDefault="00996488" w:rsidP="00996488">
      <w:pPr>
        <w:rPr>
          <w:rFonts w:cs="Arial"/>
        </w:rPr>
      </w:pPr>
      <w:r>
        <w:rPr>
          <w:szCs w:val="20"/>
        </w:rPr>
        <w:t>Dodavatel prokáže splnění technické kvalifikace předložením:</w:t>
      </w:r>
    </w:p>
    <w:p w14:paraId="0B858091" w14:textId="1E276844" w:rsidR="001520EE" w:rsidRDefault="00996488" w:rsidP="004C53B0">
      <w:pPr>
        <w:pStyle w:val="Odstavecseseznamem"/>
        <w:numPr>
          <w:ilvl w:val="0"/>
          <w:numId w:val="5"/>
        </w:numPr>
      </w:pPr>
      <w:r w:rsidRPr="006962E6">
        <w:rPr>
          <w:b/>
          <w:bCs/>
        </w:rPr>
        <w:t xml:space="preserve">Seznamu významných </w:t>
      </w:r>
      <w:r w:rsidR="003807FE">
        <w:rPr>
          <w:b/>
          <w:bCs/>
        </w:rPr>
        <w:t>služeb</w:t>
      </w:r>
      <w:r w:rsidRPr="006962E6">
        <w:rPr>
          <w:b/>
          <w:bCs/>
        </w:rPr>
        <w:t xml:space="preserve"> </w:t>
      </w:r>
      <w:r>
        <w:t xml:space="preserve">(analogicky k ust. § 79 odst. 2 písm. b) ZZVZ), poskytnutých dodavatelem za poslední 3 roky před zahájením </w:t>
      </w:r>
      <w:r w:rsidR="00D819B0">
        <w:t>výběrového</w:t>
      </w:r>
      <w:r>
        <w:t xml:space="preserve"> řízení. Zadavatel pro úplnost uvádí, že</w:t>
      </w:r>
      <w:r w:rsidR="00E27A85">
        <w:t> </w:t>
      </w:r>
      <w:r>
        <w:t xml:space="preserve">se musí jednat o dodávky dokončené v uvedeném termínu. </w:t>
      </w:r>
    </w:p>
    <w:p w14:paraId="376ED951" w14:textId="29D6D236" w:rsidR="00882EBF" w:rsidRPr="00392202" w:rsidRDefault="00882EBF" w:rsidP="006962E6">
      <w:pPr>
        <w:ind w:left="360"/>
        <w:rPr>
          <w:rFonts w:cs="Arial"/>
        </w:rPr>
      </w:pPr>
      <w:r w:rsidRPr="00392202">
        <w:rPr>
          <w:rFonts w:cs="Arial"/>
        </w:rPr>
        <w:t xml:space="preserve">Zadavatel stanovuje, že účastník má povinnost předložit jako významnou </w:t>
      </w:r>
      <w:r w:rsidR="003807FE">
        <w:rPr>
          <w:rFonts w:cs="Arial"/>
        </w:rPr>
        <w:t>službu</w:t>
      </w:r>
      <w:r w:rsidRPr="00392202">
        <w:rPr>
          <w:rFonts w:cs="Arial"/>
        </w:rPr>
        <w:t xml:space="preserve"> poskytnutí </w:t>
      </w:r>
      <w:r w:rsidR="003807FE">
        <w:rPr>
          <w:rFonts w:cs="Arial"/>
        </w:rPr>
        <w:t>služby</w:t>
      </w:r>
      <w:r w:rsidRPr="00392202">
        <w:rPr>
          <w:rFonts w:cs="Arial"/>
        </w:rPr>
        <w:t>, jejímž předmětem je dodávka a související služby shodného či obdobného charakteru, jako předmět plnění této VZ, tj.:</w:t>
      </w:r>
    </w:p>
    <w:p w14:paraId="3293C0CF" w14:textId="7A3A0F9C" w:rsidR="00882EBF" w:rsidRDefault="00882EBF" w:rsidP="004C53B0">
      <w:pPr>
        <w:pStyle w:val="Odstavecseseznamem"/>
        <w:numPr>
          <w:ilvl w:val="0"/>
          <w:numId w:val="6"/>
        </w:numPr>
        <w:spacing w:after="120"/>
        <w:ind w:left="714" w:hanging="357"/>
        <w:contextualSpacing w:val="0"/>
      </w:pPr>
      <w:r w:rsidRPr="002F36F6">
        <w:t xml:space="preserve">nejméně </w:t>
      </w:r>
      <w:r w:rsidR="009A6E55">
        <w:t>3</w:t>
      </w:r>
      <w:r w:rsidRPr="002F36F6">
        <w:t xml:space="preserve"> významné </w:t>
      </w:r>
      <w:r w:rsidR="003807FE">
        <w:t>služby</w:t>
      </w:r>
      <w:r w:rsidRPr="002F36F6">
        <w:t xml:space="preserve"> </w:t>
      </w:r>
      <w:r w:rsidR="009A6E55">
        <w:t xml:space="preserve">spočívající </w:t>
      </w:r>
      <w:r w:rsidRPr="002F36F6">
        <w:t>v</w:t>
      </w:r>
      <w:r w:rsidR="009A6E55">
        <w:t> </w:t>
      </w:r>
      <w:r w:rsidRPr="002F36F6">
        <w:t>dodávce</w:t>
      </w:r>
      <w:r w:rsidR="009A6E55">
        <w:t xml:space="preserve"> webové prezentace orgánu veřejné správy rozsahem a obsahem odpovídajícím webové prezentaci obce </w:t>
      </w:r>
      <w:r w:rsidR="003807FE">
        <w:t xml:space="preserve">s nejméně </w:t>
      </w:r>
      <w:r w:rsidR="00BD7EAB">
        <w:t>20 </w:t>
      </w:r>
      <w:r w:rsidR="003807FE">
        <w:t xml:space="preserve">000 obyvateli, </w:t>
      </w:r>
      <w:r w:rsidR="00BD7EAB">
        <w:t xml:space="preserve">obce </w:t>
      </w:r>
      <w:r w:rsidR="009A6E55">
        <w:t xml:space="preserve">III. stupně (ORP) nebo vyššího územního samosprávného celku (kraj) </w:t>
      </w:r>
      <w:r w:rsidRPr="002F36F6">
        <w:t xml:space="preserve">v minimální finanční výši </w:t>
      </w:r>
      <w:r w:rsidR="00BD7EAB">
        <w:t>12</w:t>
      </w:r>
      <w:r w:rsidR="00BD7EAB" w:rsidRPr="002F36F6">
        <w:t>0 </w:t>
      </w:r>
      <w:r w:rsidR="002F36F6" w:rsidRPr="002F36F6">
        <w:t xml:space="preserve">000,- </w:t>
      </w:r>
      <w:r w:rsidRPr="00392202">
        <w:t xml:space="preserve">Kč bez DPH </w:t>
      </w:r>
      <w:r w:rsidR="009A6E55">
        <w:t>za každou dodávku</w:t>
      </w:r>
      <w:r w:rsidRPr="00392202">
        <w:t>;</w:t>
      </w:r>
    </w:p>
    <w:p w14:paraId="192A237D" w14:textId="48CE9293" w:rsidR="00392202" w:rsidRPr="009A6E55" w:rsidRDefault="00882EBF" w:rsidP="004C53B0">
      <w:pPr>
        <w:pStyle w:val="Odstavecseseznamem"/>
        <w:numPr>
          <w:ilvl w:val="0"/>
          <w:numId w:val="6"/>
        </w:numPr>
        <w:spacing w:after="120"/>
        <w:ind w:left="714" w:hanging="357"/>
        <w:contextualSpacing w:val="0"/>
        <w:rPr>
          <w:szCs w:val="20"/>
        </w:rPr>
      </w:pPr>
      <w:r w:rsidRPr="00392202">
        <w:t xml:space="preserve">nejméně </w:t>
      </w:r>
      <w:r w:rsidR="009A6E55">
        <w:t>3</w:t>
      </w:r>
      <w:r w:rsidRPr="00392202">
        <w:t xml:space="preserve"> významné </w:t>
      </w:r>
      <w:r w:rsidR="003807FE">
        <w:t xml:space="preserve">služby </w:t>
      </w:r>
      <w:r w:rsidR="009A6E55">
        <w:t xml:space="preserve">spočívající </w:t>
      </w:r>
      <w:r w:rsidRPr="00392202">
        <w:t xml:space="preserve">v zajištění provozní a/nebo servisní podpory dodané </w:t>
      </w:r>
      <w:r w:rsidR="009A6E55">
        <w:t xml:space="preserve">webové prezentace </w:t>
      </w:r>
      <w:r w:rsidR="009A6E55" w:rsidRPr="002F36F6">
        <w:t xml:space="preserve">v minimální finanční výši </w:t>
      </w:r>
      <w:r w:rsidR="009A6E55">
        <w:t>15</w:t>
      </w:r>
      <w:r w:rsidR="009A6E55" w:rsidRPr="002F36F6">
        <w:t xml:space="preserve">0 000,- </w:t>
      </w:r>
      <w:r w:rsidR="009A6E55" w:rsidRPr="00392202">
        <w:t xml:space="preserve">Kč bez DPH </w:t>
      </w:r>
      <w:r w:rsidR="009A6E55">
        <w:t>za každou dodávku</w:t>
      </w:r>
      <w:r w:rsidR="003807FE">
        <w:t>.</w:t>
      </w:r>
    </w:p>
    <w:p w14:paraId="360D3FE8" w14:textId="1C27CE6C" w:rsidR="00D11F2F" w:rsidRDefault="00EC5AF4" w:rsidP="006962E6">
      <w:r>
        <w:t xml:space="preserve">Pro splnění požadavku předloží účastník čestné prohlášení – Seznam významných </w:t>
      </w:r>
      <w:r w:rsidR="003807FE">
        <w:t>služeb</w:t>
      </w:r>
      <w:r>
        <w:t>. Z</w:t>
      </w:r>
      <w:r w:rsidR="003807FE">
        <w:t> </w:t>
      </w:r>
      <w:r>
        <w:t xml:space="preserve">předloženého </w:t>
      </w:r>
      <w:r w:rsidR="003807FE">
        <w:t>s</w:t>
      </w:r>
      <w:r>
        <w:t>eznamu bude zřejmé splnění požadavků zadavatele nejméně v rozsahu údajů uvedených v příloze č. 4 této zadávací dokumentace.</w:t>
      </w:r>
    </w:p>
    <w:p w14:paraId="3E26D076" w14:textId="28BE5795" w:rsidR="003807FE" w:rsidRDefault="003807FE" w:rsidP="006962E6"/>
    <w:p w14:paraId="1BBC4A9F" w14:textId="05A36C2F" w:rsidR="003807FE" w:rsidRPr="003807FE" w:rsidRDefault="003807FE" w:rsidP="003807FE">
      <w:pPr>
        <w:pStyle w:val="Odstavecseseznamem"/>
        <w:numPr>
          <w:ilvl w:val="0"/>
          <w:numId w:val="5"/>
        </w:numPr>
      </w:pPr>
      <w:r w:rsidRPr="001A2FC2">
        <w:rPr>
          <w:b/>
          <w:bCs/>
        </w:rPr>
        <w:t>Seznamu členů realizačního týmu</w:t>
      </w:r>
      <w:r w:rsidRPr="001A2FC2">
        <w:rPr>
          <w:bCs/>
        </w:rPr>
        <w:t xml:space="preserve"> (</w:t>
      </w:r>
      <w:r>
        <w:rPr>
          <w:bCs/>
        </w:rPr>
        <w:t xml:space="preserve">analogicky k </w:t>
      </w:r>
      <w:r w:rsidRPr="001A2FC2">
        <w:rPr>
          <w:bCs/>
        </w:rPr>
        <w:t>ust. § 79 odst. 2 písm. d) ZZVZ). Dodavatel splňuje požadavky na technickou kvalifikaci, pokud disponuje realizačním týmem splňujícím následující podmínky:</w:t>
      </w:r>
    </w:p>
    <w:p w14:paraId="0757275B" w14:textId="3911433C" w:rsidR="003807FE" w:rsidRDefault="003807FE" w:rsidP="003807FE">
      <w:pPr>
        <w:pStyle w:val="Odstavecseseznamem"/>
        <w:numPr>
          <w:ilvl w:val="1"/>
          <w:numId w:val="5"/>
        </w:numPr>
        <w:spacing w:after="120"/>
        <w:contextualSpacing w:val="0"/>
        <w:rPr>
          <w:iCs/>
          <w:color w:val="000000"/>
        </w:rPr>
      </w:pPr>
      <w:r w:rsidRPr="001A2FC2">
        <w:rPr>
          <w:iCs/>
          <w:color w:val="000000"/>
        </w:rPr>
        <w:t xml:space="preserve">Vedoucí týmu (1 osoba) musí mít alespoň 5 let prokazatelných zkušeností v poskytování služeb </w:t>
      </w:r>
      <w:r>
        <w:rPr>
          <w:iCs/>
          <w:color w:val="000000"/>
        </w:rPr>
        <w:t xml:space="preserve">řízení dodávek webových prezentací </w:t>
      </w:r>
      <w:r w:rsidRPr="001A2FC2">
        <w:rPr>
          <w:iCs/>
          <w:color w:val="000000"/>
        </w:rPr>
        <w:t xml:space="preserve">prokázané seznamem realizovaných významných dodávek v oblasti </w:t>
      </w:r>
      <w:r>
        <w:rPr>
          <w:iCs/>
          <w:color w:val="000000"/>
        </w:rPr>
        <w:t>webových prezentací</w:t>
      </w:r>
      <w:r w:rsidRPr="001A2FC2">
        <w:rPr>
          <w:iCs/>
          <w:color w:val="000000"/>
        </w:rPr>
        <w:t xml:space="preserve">, ve kterých působil v pozici obdobné jako vedoucího realizačního týmu – min. </w:t>
      </w:r>
      <w:r w:rsidR="00BD7EAB">
        <w:rPr>
          <w:iCs/>
          <w:color w:val="000000"/>
        </w:rPr>
        <w:t xml:space="preserve">3 realizované významné zakázky </w:t>
      </w:r>
      <w:r w:rsidRPr="001A2FC2">
        <w:rPr>
          <w:iCs/>
          <w:color w:val="000000"/>
        </w:rPr>
        <w:t xml:space="preserve">musí odpovídat požadavkům zadavatele na významné dodávky uvedené v předchozím bodě pod </w:t>
      </w:r>
      <w:r>
        <w:rPr>
          <w:iCs/>
          <w:color w:val="000000"/>
        </w:rPr>
        <w:t>první odrážkou.</w:t>
      </w:r>
    </w:p>
    <w:p w14:paraId="18B93CBC" w14:textId="35682D36" w:rsidR="003807FE" w:rsidRDefault="003807FE" w:rsidP="003807FE">
      <w:pPr>
        <w:pStyle w:val="Odstavecseseznamem"/>
        <w:numPr>
          <w:ilvl w:val="1"/>
          <w:numId w:val="5"/>
        </w:numPr>
        <w:spacing w:after="120"/>
        <w:contextualSpacing w:val="0"/>
        <w:rPr>
          <w:iCs/>
          <w:color w:val="000000"/>
        </w:rPr>
      </w:pPr>
      <w:r>
        <w:rPr>
          <w:iCs/>
          <w:color w:val="000000"/>
        </w:rPr>
        <w:t xml:space="preserve">Analytik </w:t>
      </w:r>
      <w:r w:rsidR="00BD7EAB">
        <w:rPr>
          <w:iCs/>
          <w:color w:val="000000"/>
        </w:rPr>
        <w:t xml:space="preserve">/ Informační architekt </w:t>
      </w:r>
      <w:r w:rsidRPr="001A2FC2">
        <w:rPr>
          <w:iCs/>
          <w:color w:val="000000"/>
        </w:rPr>
        <w:t xml:space="preserve">(1 osoba) musí mít alespoň 5 let prokazatelných zkušeností v poskytování služeb </w:t>
      </w:r>
      <w:r>
        <w:rPr>
          <w:iCs/>
          <w:color w:val="000000"/>
        </w:rPr>
        <w:t xml:space="preserve">analýz webových prezentací </w:t>
      </w:r>
      <w:r w:rsidR="00BD7EAB">
        <w:rPr>
          <w:iCs/>
          <w:color w:val="000000"/>
        </w:rPr>
        <w:t xml:space="preserve">a návrhů informačních architektur </w:t>
      </w:r>
      <w:r w:rsidRPr="001A2FC2">
        <w:rPr>
          <w:iCs/>
          <w:color w:val="000000"/>
        </w:rPr>
        <w:t xml:space="preserve">prokázané seznamem realizovaných významných dodávek v oblasti </w:t>
      </w:r>
      <w:r>
        <w:rPr>
          <w:iCs/>
          <w:color w:val="000000"/>
        </w:rPr>
        <w:t>webových prezentací</w:t>
      </w:r>
      <w:r w:rsidRPr="001A2FC2">
        <w:rPr>
          <w:iCs/>
          <w:color w:val="000000"/>
        </w:rPr>
        <w:t xml:space="preserve">, ve kterých působil v pozici obdobné jako </w:t>
      </w:r>
      <w:r>
        <w:rPr>
          <w:iCs/>
          <w:color w:val="000000"/>
        </w:rPr>
        <w:t>webový analytik</w:t>
      </w:r>
      <w:r w:rsidRPr="001A2FC2">
        <w:rPr>
          <w:iCs/>
          <w:color w:val="000000"/>
        </w:rPr>
        <w:t xml:space="preserve"> – min. </w:t>
      </w:r>
      <w:r w:rsidR="00BD7EAB">
        <w:rPr>
          <w:iCs/>
          <w:color w:val="000000"/>
        </w:rPr>
        <w:t xml:space="preserve">3 realizované významné zakázky </w:t>
      </w:r>
      <w:r w:rsidRPr="001A2FC2">
        <w:rPr>
          <w:iCs/>
          <w:color w:val="000000"/>
        </w:rPr>
        <w:t>musí odpovídat požadavkům zadavatele na významné dodávky uvedené v předchozím bodě pod</w:t>
      </w:r>
      <w:r w:rsidR="00E27A85">
        <w:rPr>
          <w:iCs/>
          <w:color w:val="000000"/>
        </w:rPr>
        <w:t> </w:t>
      </w:r>
      <w:r>
        <w:rPr>
          <w:iCs/>
          <w:color w:val="000000"/>
        </w:rPr>
        <w:t>první odrážkou.</w:t>
      </w:r>
    </w:p>
    <w:p w14:paraId="358D82A9" w14:textId="76BE109B" w:rsidR="003807FE" w:rsidRDefault="003807FE" w:rsidP="006D5B56">
      <w:pPr>
        <w:pStyle w:val="Odstavecseseznamem"/>
        <w:numPr>
          <w:ilvl w:val="1"/>
          <w:numId w:val="14"/>
        </w:numPr>
        <w:spacing w:after="120"/>
        <w:contextualSpacing w:val="0"/>
        <w:rPr>
          <w:iCs/>
          <w:color w:val="000000"/>
        </w:rPr>
      </w:pPr>
      <w:r>
        <w:rPr>
          <w:iCs/>
          <w:color w:val="000000"/>
        </w:rPr>
        <w:t xml:space="preserve">Grafik </w:t>
      </w:r>
      <w:r w:rsidRPr="001A2FC2">
        <w:rPr>
          <w:iCs/>
          <w:color w:val="000000"/>
        </w:rPr>
        <w:t xml:space="preserve"> (1 osoba) musí mít alespoň 5 let prokazatelných zkušeností v poskytování služeb </w:t>
      </w:r>
      <w:r>
        <w:rPr>
          <w:iCs/>
          <w:color w:val="000000"/>
        </w:rPr>
        <w:t xml:space="preserve">grafických návrhů webových prezentací </w:t>
      </w:r>
      <w:r w:rsidRPr="001A2FC2">
        <w:rPr>
          <w:iCs/>
          <w:color w:val="000000"/>
        </w:rPr>
        <w:t xml:space="preserve">prokázané seznamem realizovaných významných dodávek v oblasti </w:t>
      </w:r>
      <w:r>
        <w:rPr>
          <w:iCs/>
          <w:color w:val="000000"/>
        </w:rPr>
        <w:t>webových prezentací</w:t>
      </w:r>
      <w:r w:rsidRPr="001A2FC2">
        <w:rPr>
          <w:iCs/>
          <w:color w:val="000000"/>
        </w:rPr>
        <w:t xml:space="preserve">, ve kterých působil v pozici obdobné jako </w:t>
      </w:r>
      <w:r w:rsidR="006D5B56">
        <w:rPr>
          <w:iCs/>
          <w:color w:val="000000"/>
        </w:rPr>
        <w:t>webového grafika</w:t>
      </w:r>
      <w:r w:rsidRPr="001A2FC2">
        <w:rPr>
          <w:iCs/>
          <w:color w:val="000000"/>
        </w:rPr>
        <w:t xml:space="preserve"> – min. </w:t>
      </w:r>
      <w:r w:rsidR="00BD7EAB">
        <w:rPr>
          <w:iCs/>
          <w:color w:val="000000"/>
        </w:rPr>
        <w:t xml:space="preserve">3 realizované významné zakázky </w:t>
      </w:r>
      <w:r w:rsidRPr="001A2FC2">
        <w:rPr>
          <w:iCs/>
          <w:color w:val="000000"/>
        </w:rPr>
        <w:t>musí odpovídat požadavkům zadavatele na</w:t>
      </w:r>
      <w:r w:rsidR="00E27A85">
        <w:rPr>
          <w:iCs/>
          <w:color w:val="000000"/>
        </w:rPr>
        <w:t> </w:t>
      </w:r>
      <w:r w:rsidRPr="001A2FC2">
        <w:rPr>
          <w:iCs/>
          <w:color w:val="000000"/>
        </w:rPr>
        <w:t xml:space="preserve">významné dodávky uvedené v předchozím bodě pod </w:t>
      </w:r>
      <w:r>
        <w:rPr>
          <w:iCs/>
          <w:color w:val="000000"/>
        </w:rPr>
        <w:t>první odrážkou.</w:t>
      </w:r>
    </w:p>
    <w:p w14:paraId="6310E404" w14:textId="1CE1B355" w:rsidR="003807FE" w:rsidRDefault="006D5B56" w:rsidP="006D5B56">
      <w:pPr>
        <w:pStyle w:val="Odstavecseseznamem"/>
        <w:numPr>
          <w:ilvl w:val="1"/>
          <w:numId w:val="14"/>
        </w:numPr>
        <w:spacing w:after="120"/>
        <w:contextualSpacing w:val="0"/>
        <w:rPr>
          <w:iCs/>
          <w:color w:val="000000"/>
        </w:rPr>
      </w:pPr>
      <w:r>
        <w:rPr>
          <w:iCs/>
          <w:color w:val="000000"/>
        </w:rPr>
        <w:t xml:space="preserve">Kodér </w:t>
      </w:r>
      <w:r w:rsidR="003807FE">
        <w:rPr>
          <w:iCs/>
          <w:color w:val="000000"/>
        </w:rPr>
        <w:t xml:space="preserve"> </w:t>
      </w:r>
      <w:r w:rsidR="003807FE" w:rsidRPr="001A2FC2">
        <w:rPr>
          <w:iCs/>
          <w:color w:val="000000"/>
        </w:rPr>
        <w:t xml:space="preserve">(1 osoba) musí mít alespoň 5 let prokazatelných zkušeností v poskytování služeb </w:t>
      </w:r>
      <w:r>
        <w:rPr>
          <w:iCs/>
          <w:color w:val="000000"/>
        </w:rPr>
        <w:t xml:space="preserve">tvorby individuálních šablon / úprav CMS na míru podle potřeb </w:t>
      </w:r>
      <w:r w:rsidR="003807FE">
        <w:rPr>
          <w:iCs/>
          <w:color w:val="000000"/>
        </w:rPr>
        <w:t xml:space="preserve">webových prezentací </w:t>
      </w:r>
      <w:r w:rsidR="003807FE" w:rsidRPr="001A2FC2">
        <w:rPr>
          <w:iCs/>
          <w:color w:val="000000"/>
        </w:rPr>
        <w:t xml:space="preserve">prokázané seznamem realizovaných významných dodávek v oblasti </w:t>
      </w:r>
      <w:r w:rsidR="003807FE">
        <w:rPr>
          <w:iCs/>
          <w:color w:val="000000"/>
        </w:rPr>
        <w:t>webových prezentací</w:t>
      </w:r>
      <w:r w:rsidR="003807FE" w:rsidRPr="001A2FC2">
        <w:rPr>
          <w:iCs/>
          <w:color w:val="000000"/>
        </w:rPr>
        <w:t xml:space="preserve">, ve kterých působil v pozici obdobné jako </w:t>
      </w:r>
      <w:r>
        <w:rPr>
          <w:iCs/>
          <w:color w:val="000000"/>
        </w:rPr>
        <w:t xml:space="preserve">kodér </w:t>
      </w:r>
      <w:r w:rsidR="003807FE" w:rsidRPr="001A2FC2">
        <w:rPr>
          <w:iCs/>
          <w:color w:val="000000"/>
        </w:rPr>
        <w:t xml:space="preserve">– min. </w:t>
      </w:r>
      <w:r w:rsidR="00BD7EAB">
        <w:rPr>
          <w:iCs/>
          <w:color w:val="000000"/>
        </w:rPr>
        <w:t xml:space="preserve">3 realizované významné zakázky </w:t>
      </w:r>
      <w:r w:rsidR="003807FE" w:rsidRPr="001A2FC2">
        <w:rPr>
          <w:iCs/>
          <w:color w:val="000000"/>
        </w:rPr>
        <w:t xml:space="preserve">musí odpovídat požadavkům zadavatele na významné dodávky uvedené v předchozím bodě pod </w:t>
      </w:r>
      <w:r w:rsidR="003807FE">
        <w:rPr>
          <w:iCs/>
          <w:color w:val="000000"/>
        </w:rPr>
        <w:t>první odrážkou.</w:t>
      </w:r>
    </w:p>
    <w:p w14:paraId="2932C500" w14:textId="77777777" w:rsidR="003807FE" w:rsidRDefault="003807FE" w:rsidP="006962E6"/>
    <w:p w14:paraId="2395111D" w14:textId="77777777" w:rsidR="003807FE" w:rsidRDefault="003807FE" w:rsidP="006962E6"/>
    <w:p w14:paraId="31020C0A" w14:textId="77777777" w:rsidR="00D11F2F" w:rsidRDefault="00D11F2F" w:rsidP="00345838">
      <w:pPr>
        <w:pStyle w:val="Nadpis2"/>
      </w:pPr>
      <w:r w:rsidRPr="00D11F2F">
        <w:t>Další podmínky prokazování kvalifikace</w:t>
      </w:r>
    </w:p>
    <w:p w14:paraId="02954E0A" w14:textId="06599829" w:rsidR="00D11F2F" w:rsidRDefault="00D11F2F" w:rsidP="00D11F2F">
      <w:pPr>
        <w:rPr>
          <w:szCs w:val="20"/>
        </w:rPr>
      </w:pPr>
      <w:r w:rsidRPr="00345838">
        <w:rPr>
          <w:szCs w:val="20"/>
          <w:u w:val="single"/>
        </w:rPr>
        <w:t xml:space="preserve">Změny v kvalifikaci účastníka </w:t>
      </w:r>
      <w:r w:rsidR="00D819B0" w:rsidRPr="00345838">
        <w:rPr>
          <w:szCs w:val="20"/>
          <w:u w:val="single"/>
        </w:rPr>
        <w:t>výběrového</w:t>
      </w:r>
      <w:r w:rsidRPr="00345838">
        <w:rPr>
          <w:szCs w:val="20"/>
          <w:u w:val="single"/>
        </w:rPr>
        <w:t xml:space="preserve"> řízení</w:t>
      </w:r>
      <w:r>
        <w:rPr>
          <w:szCs w:val="20"/>
        </w:rPr>
        <w:t>:</w:t>
      </w:r>
      <w:r w:rsidR="00345838">
        <w:rPr>
          <w:szCs w:val="20"/>
        </w:rPr>
        <w:t xml:space="preserve"> </w:t>
      </w:r>
      <w:r>
        <w:rPr>
          <w:szCs w:val="20"/>
        </w:rPr>
        <w:t>Pokud po předložení dokladů nebo prohlášení o</w:t>
      </w:r>
      <w:r w:rsidR="00E27A85">
        <w:rPr>
          <w:szCs w:val="20"/>
        </w:rPr>
        <w:t> </w:t>
      </w:r>
      <w:r>
        <w:rPr>
          <w:szCs w:val="20"/>
        </w:rPr>
        <w:t xml:space="preserve">kvalifikaci dojde v průběhu </w:t>
      </w:r>
      <w:r w:rsidR="00D819B0">
        <w:rPr>
          <w:szCs w:val="20"/>
        </w:rPr>
        <w:t>výběrového</w:t>
      </w:r>
      <w:r>
        <w:rPr>
          <w:szCs w:val="20"/>
        </w:rPr>
        <w:t xml:space="preserve"> řízení ke změně kvalifikace účastníka </w:t>
      </w:r>
      <w:r w:rsidR="00D819B0">
        <w:rPr>
          <w:szCs w:val="20"/>
        </w:rPr>
        <w:t>výběrového</w:t>
      </w:r>
      <w:r>
        <w:rPr>
          <w:szCs w:val="20"/>
        </w:rPr>
        <w:t xml:space="preserve"> řízení, je</w:t>
      </w:r>
      <w:r w:rsidR="00E27A85">
        <w:rPr>
          <w:szCs w:val="20"/>
        </w:rPr>
        <w:t> </w:t>
      </w:r>
      <w:r>
        <w:rPr>
          <w:szCs w:val="20"/>
        </w:rPr>
        <w:t xml:space="preserve">účastník </w:t>
      </w:r>
      <w:r w:rsidR="00CB63C4">
        <w:rPr>
          <w:szCs w:val="20"/>
        </w:rPr>
        <w:t xml:space="preserve">výběrového </w:t>
      </w:r>
      <w:r>
        <w:rPr>
          <w:szCs w:val="20"/>
        </w:rPr>
        <w:t>řízení povinen tuto změnu zadavateli ve lhůtě do 5 pracovních dnů oznámit a</w:t>
      </w:r>
      <w:r w:rsidR="00E27A85">
        <w:rPr>
          <w:szCs w:val="20"/>
        </w:rPr>
        <w:t> </w:t>
      </w:r>
      <w:r>
        <w:rPr>
          <w:szCs w:val="20"/>
        </w:rPr>
        <w:t>do</w:t>
      </w:r>
      <w:r w:rsidR="00E27A85">
        <w:rPr>
          <w:szCs w:val="20"/>
        </w:rPr>
        <w:t> </w:t>
      </w:r>
      <w:r>
        <w:rPr>
          <w:szCs w:val="20"/>
        </w:rPr>
        <w:t xml:space="preserve">10 pracovních dnů od oznámení této změny předložit nové doklady nebo prohlášení ke kvalifikaci; zadavatel může tyto lhůty prodloužit nebo prominout jejich zmeškání. Povinnost podle věty první účastníku </w:t>
      </w:r>
      <w:r w:rsidR="00D819B0">
        <w:rPr>
          <w:szCs w:val="20"/>
        </w:rPr>
        <w:t>výběrového</w:t>
      </w:r>
      <w:r>
        <w:rPr>
          <w:szCs w:val="20"/>
        </w:rPr>
        <w:t xml:space="preserve"> řízení nevzniká, pokud je kvalifikace změněna takovým způsobem, že:</w:t>
      </w:r>
    </w:p>
    <w:p w14:paraId="7BCA494E" w14:textId="77777777" w:rsidR="00D11F2F" w:rsidRPr="00D11F2F" w:rsidRDefault="00D11F2F" w:rsidP="004C53B0">
      <w:pPr>
        <w:pStyle w:val="Odstavecseseznamem"/>
        <w:numPr>
          <w:ilvl w:val="0"/>
          <w:numId w:val="7"/>
        </w:numPr>
        <w:spacing w:after="120"/>
        <w:contextualSpacing w:val="0"/>
      </w:pPr>
      <w:r w:rsidRPr="00D11F2F">
        <w:t xml:space="preserve">podmínky kvalifikace jsou nadále splněny a </w:t>
      </w:r>
    </w:p>
    <w:p w14:paraId="1B5C9EA1" w14:textId="77777777" w:rsidR="00D11F2F" w:rsidRPr="00D11F2F" w:rsidRDefault="00D11F2F" w:rsidP="004C53B0">
      <w:pPr>
        <w:pStyle w:val="Odstavecseseznamem"/>
        <w:numPr>
          <w:ilvl w:val="0"/>
          <w:numId w:val="7"/>
        </w:numPr>
        <w:spacing w:after="120"/>
        <w:contextualSpacing w:val="0"/>
      </w:pPr>
      <w:r w:rsidRPr="00D11F2F">
        <w:t xml:space="preserve">nedošlo k ovlivnění kritérií hodnocení nabídek. </w:t>
      </w:r>
    </w:p>
    <w:p w14:paraId="4B3E353E" w14:textId="738C5B67" w:rsidR="00D11F2F" w:rsidRDefault="00D26FBB" w:rsidP="00D11F2F">
      <w:pPr>
        <w:rPr>
          <w:szCs w:val="20"/>
        </w:rPr>
      </w:pPr>
      <w:r>
        <w:rPr>
          <w:szCs w:val="20"/>
        </w:rPr>
        <w:t xml:space="preserve">Dozví-li se zadavatel, že dodavatel nesplnil povinnost uvedenou v odstavci 1 tohoto článku, zadavatel jej bezodkladně vyloučí </w:t>
      </w:r>
      <w:r w:rsidR="00CB63C4">
        <w:rPr>
          <w:szCs w:val="20"/>
        </w:rPr>
        <w:t>z výběrového</w:t>
      </w:r>
      <w:r>
        <w:rPr>
          <w:szCs w:val="20"/>
        </w:rPr>
        <w:t xml:space="preserve"> řízení.</w:t>
      </w:r>
    </w:p>
    <w:p w14:paraId="665BA633" w14:textId="29610645" w:rsidR="00892791" w:rsidRDefault="00D26FBB" w:rsidP="00D11F2F">
      <w:pPr>
        <w:rPr>
          <w:szCs w:val="20"/>
        </w:rPr>
      </w:pPr>
      <w:r w:rsidRPr="00345838">
        <w:rPr>
          <w:szCs w:val="20"/>
          <w:u w:val="single"/>
        </w:rPr>
        <w:t>Seznam kvalifikovaných dodavatelů</w:t>
      </w:r>
      <w:r w:rsidRPr="00345838">
        <w:rPr>
          <w:szCs w:val="20"/>
        </w:rPr>
        <w:t>:</w:t>
      </w:r>
      <w:r w:rsidR="00345838" w:rsidRPr="00345838">
        <w:rPr>
          <w:szCs w:val="20"/>
        </w:rPr>
        <w:t xml:space="preserve"> </w:t>
      </w:r>
      <w:r w:rsidR="00892791">
        <w:rPr>
          <w:szCs w:val="20"/>
        </w:rPr>
        <w:t>Dodavatelé zapsaní v seznamu kvalifikovaných dodavatelů jsou oprávněni analogicky k ust. § 228 ZZVZ prokázat splnění základní způsobilosti a profesní způsobilosti v tom rozsahu, v jakém údaje ve výpisu ze seznamu kvalifikovaných dodavatelů prokazující splnění kritérií profesní způsobilosti. Výpis ze seznamu kvalifikovaných dodavatelů nesmí být starší než</w:t>
      </w:r>
      <w:r w:rsidR="00E27A85">
        <w:rPr>
          <w:szCs w:val="20"/>
        </w:rPr>
        <w:t> </w:t>
      </w:r>
      <w:r w:rsidR="00892791">
        <w:rPr>
          <w:szCs w:val="20"/>
        </w:rPr>
        <w:t>3</w:t>
      </w:r>
      <w:r w:rsidR="00E27A85">
        <w:rPr>
          <w:szCs w:val="20"/>
        </w:rPr>
        <w:t> </w:t>
      </w:r>
      <w:r w:rsidR="00892791">
        <w:rPr>
          <w:szCs w:val="20"/>
        </w:rPr>
        <w:t>měsíce od posledního dne, ke kterému má být základní a profesní způsobilost prokázána.</w:t>
      </w:r>
    </w:p>
    <w:p w14:paraId="2672803B" w14:textId="11AE0F2F" w:rsidR="00892791" w:rsidRDefault="00892791" w:rsidP="00D11F2F">
      <w:pPr>
        <w:rPr>
          <w:szCs w:val="20"/>
        </w:rPr>
      </w:pPr>
    </w:p>
    <w:p w14:paraId="5D8936F1" w14:textId="4D2255B5" w:rsidR="00892791" w:rsidRPr="00D11F2F" w:rsidRDefault="00892791" w:rsidP="00345838">
      <w:pPr>
        <w:pStyle w:val="Nadpis1"/>
      </w:pPr>
      <w:r w:rsidRPr="00892791">
        <w:lastRenderedPageBreak/>
        <w:t>JINÉ POŽADAVKY A PODMÍNKY ZADAVATELE NA PLNĚNÍ VEŘEJNÉ ZAKÁZKY</w:t>
      </w:r>
    </w:p>
    <w:p w14:paraId="767A98A6" w14:textId="38735FB1" w:rsidR="00D11F2F" w:rsidRDefault="00892791" w:rsidP="00345838">
      <w:pPr>
        <w:pStyle w:val="Nadpis2"/>
      </w:pPr>
      <w:r w:rsidRPr="00892791">
        <w:t>Seznam poddodavatelů</w:t>
      </w:r>
    </w:p>
    <w:p w14:paraId="32370509" w14:textId="3A213584" w:rsidR="006D5B56" w:rsidRDefault="006D5B56" w:rsidP="00892791">
      <w:pPr>
        <w:rPr>
          <w:szCs w:val="20"/>
        </w:rPr>
      </w:pPr>
      <w:r>
        <w:rPr>
          <w:szCs w:val="20"/>
        </w:rPr>
        <w:t xml:space="preserve">Zadavatel analogicky k ust. § 105, odst. 2) </w:t>
      </w:r>
      <w:r>
        <w:rPr>
          <w:rFonts w:cs="Arial"/>
          <w:color w:val="000000"/>
          <w:szCs w:val="20"/>
          <w:shd w:val="clear" w:color="auto" w:fill="FFFFFF"/>
        </w:rPr>
        <w:t>požaduje, aby činnosti spočívající v analýze, návrhu, úpravách CMS a nasazení webové prezentace, tj. práce v rozsahu členů realizačního týmu dodavatele Analytik, Grafik, Informační architekt a Kodér byly při plnění veřejné zakázky plněny přímo vybraným dodavatelem.</w:t>
      </w:r>
    </w:p>
    <w:p w14:paraId="3D2ADA13" w14:textId="781EEC94" w:rsidR="00892791" w:rsidRDefault="00892791" w:rsidP="00892791">
      <w:pPr>
        <w:rPr>
          <w:szCs w:val="20"/>
        </w:rPr>
      </w:pPr>
      <w:r>
        <w:rPr>
          <w:szCs w:val="20"/>
        </w:rPr>
        <w:t xml:space="preserve">Zadavatel analogicky k ustanovení § 105 odst. 1 ZZVZ požaduje, aby účastník </w:t>
      </w:r>
      <w:r w:rsidR="00CB63C4">
        <w:rPr>
          <w:szCs w:val="20"/>
        </w:rPr>
        <w:t xml:space="preserve">výběrového </w:t>
      </w:r>
      <w:r>
        <w:rPr>
          <w:szCs w:val="20"/>
        </w:rPr>
        <w:t>řízení ve</w:t>
      </w:r>
      <w:r w:rsidR="00E27A85">
        <w:rPr>
          <w:szCs w:val="20"/>
        </w:rPr>
        <w:t> </w:t>
      </w:r>
      <w:r>
        <w:rPr>
          <w:szCs w:val="20"/>
        </w:rPr>
        <w:t xml:space="preserve">své nabídce předložil seznam poddodavatelů, pokud jsou účastníkovi </w:t>
      </w:r>
      <w:r w:rsidR="00D819B0">
        <w:rPr>
          <w:szCs w:val="20"/>
        </w:rPr>
        <w:t>výběrového</w:t>
      </w:r>
      <w:r>
        <w:rPr>
          <w:szCs w:val="20"/>
        </w:rPr>
        <w:t xml:space="preserve"> řízení známi a uvedl, kterou část a v jakém finančním rozsahu veřejné zakázky bude každý z poddodavatelů plnit.</w:t>
      </w:r>
    </w:p>
    <w:p w14:paraId="3C1A3EE1" w14:textId="2A7DDAB2" w:rsidR="00892791" w:rsidRDefault="00892791" w:rsidP="00345838">
      <w:pPr>
        <w:pStyle w:val="Nadpis2"/>
      </w:pPr>
      <w:r w:rsidRPr="00892791">
        <w:t>Další práva a povinnosti</w:t>
      </w:r>
    </w:p>
    <w:p w14:paraId="393BB5E2" w14:textId="6C384FE3" w:rsidR="00892791" w:rsidRDefault="00892791" w:rsidP="00892791">
      <w:pPr>
        <w:rPr>
          <w:szCs w:val="20"/>
        </w:rPr>
      </w:pPr>
      <w:r>
        <w:rPr>
          <w:szCs w:val="20"/>
        </w:rPr>
        <w:t>Zadavatel si vyhrazuje právo ověřit informace obsažené v nabídce u třetích osob.</w:t>
      </w:r>
    </w:p>
    <w:p w14:paraId="475DA72F" w14:textId="649889F7" w:rsidR="00892791" w:rsidRDefault="00892791" w:rsidP="00892791">
      <w:pPr>
        <w:rPr>
          <w:szCs w:val="20"/>
        </w:rPr>
      </w:pPr>
      <w:r>
        <w:rPr>
          <w:szCs w:val="20"/>
        </w:rPr>
        <w:t xml:space="preserve">Jednotliví účastníci </w:t>
      </w:r>
      <w:r w:rsidR="00CB63C4">
        <w:rPr>
          <w:szCs w:val="20"/>
        </w:rPr>
        <w:t xml:space="preserve">výběrového </w:t>
      </w:r>
      <w:r>
        <w:rPr>
          <w:szCs w:val="20"/>
        </w:rPr>
        <w:t xml:space="preserve">řízení jsou povinni zdržet se jakýchkoli jednání, která by mohla narušit transparentní a nediskriminační průběh </w:t>
      </w:r>
      <w:r w:rsidR="00CB63C4">
        <w:rPr>
          <w:szCs w:val="20"/>
        </w:rPr>
        <w:t xml:space="preserve">výběrového </w:t>
      </w:r>
      <w:r>
        <w:rPr>
          <w:szCs w:val="20"/>
        </w:rPr>
        <w:t>řízení, zejména pak jednání, v jejichž důsledku by</w:t>
      </w:r>
      <w:r w:rsidR="00E27A85">
        <w:rPr>
          <w:szCs w:val="20"/>
        </w:rPr>
        <w:t> </w:t>
      </w:r>
      <w:r>
        <w:rPr>
          <w:szCs w:val="20"/>
        </w:rPr>
        <w:t>mohlo dojít k narušení soutěže mezi účastníky v rámci zadání veřejné zakázky.</w:t>
      </w:r>
    </w:p>
    <w:p w14:paraId="023B6906" w14:textId="7E321F9B" w:rsidR="00892791" w:rsidRDefault="00892791" w:rsidP="00892791">
      <w:pPr>
        <w:rPr>
          <w:szCs w:val="20"/>
        </w:rPr>
      </w:pPr>
      <w:r>
        <w:rPr>
          <w:szCs w:val="20"/>
        </w:rPr>
        <w:t>Zadavatel nepřipouští variantní řešení nabídky.</w:t>
      </w:r>
    </w:p>
    <w:p w14:paraId="3C39FAD9" w14:textId="34DC56DB" w:rsidR="00140320" w:rsidRPr="007D652C" w:rsidRDefault="00140320" w:rsidP="00345838">
      <w:r w:rsidRPr="003838DC">
        <w:t>Rozhodnutí zadavatele o výběru nejvhodnější nabídky, rozhodnutí o vyloučení účastníka z účasti z</w:t>
      </w:r>
      <w:r w:rsidR="00E27A85">
        <w:t> </w:t>
      </w:r>
      <w:r w:rsidRPr="003838DC">
        <w:t xml:space="preserve">výběrového řízení, případně o rozhodnutí o zrušení veřejné zakázky, budou účastníci informováni </w:t>
      </w:r>
      <w:r w:rsidR="009A6E55">
        <w:t>prostřednictvím el. nástroje zadavatele.</w:t>
      </w:r>
      <w:r w:rsidRPr="003838DC">
        <w:t xml:space="preserve"> </w:t>
      </w:r>
    </w:p>
    <w:p w14:paraId="363CCD35" w14:textId="77777777" w:rsidR="00140320" w:rsidRPr="003838DC" w:rsidRDefault="00140320" w:rsidP="00345838">
      <w:r w:rsidRPr="007D652C">
        <w:t>Smlouva na realizaci předmětné veřejné zakázky bude veřejně přístupná a bude zveřejněna v registru smluv</w:t>
      </w:r>
      <w:r w:rsidRPr="003838DC">
        <w:t>.</w:t>
      </w:r>
    </w:p>
    <w:p w14:paraId="55992E83" w14:textId="77777777" w:rsidR="00140320" w:rsidRPr="007D652C" w:rsidRDefault="00140320" w:rsidP="00345838">
      <w:r w:rsidRPr="007D652C">
        <w:t>Zadavatel nabídky ani jejich části účastníkům nevrací.</w:t>
      </w:r>
    </w:p>
    <w:p w14:paraId="709A43A2" w14:textId="77777777" w:rsidR="00140320" w:rsidRPr="007D652C" w:rsidRDefault="00140320" w:rsidP="00345838">
      <w:r w:rsidRPr="007D652C">
        <w:t>Účastník nemá nárok na úhradu nákladů spojených s účastí ve výběrovém řízení.</w:t>
      </w:r>
    </w:p>
    <w:p w14:paraId="240720A8" w14:textId="091E94A7" w:rsidR="00140320" w:rsidRDefault="00140320" w:rsidP="00345838">
      <w:r w:rsidRPr="007D652C">
        <w:t>Účastník nemá nárok na náhradu škody, včetně ušlého zisku, jestliže zadavatel využije svá práva výše uvedená.</w:t>
      </w:r>
    </w:p>
    <w:p w14:paraId="24D5617D" w14:textId="747B44F8" w:rsidR="00892791" w:rsidRPr="00892791" w:rsidRDefault="00892791" w:rsidP="00345838">
      <w:pPr>
        <w:pStyle w:val="Nadpis2"/>
      </w:pPr>
      <w:r w:rsidRPr="00892791">
        <w:t>Omezení účasti</w:t>
      </w:r>
    </w:p>
    <w:p w14:paraId="583F021A" w14:textId="062524AD" w:rsidR="00D11F2F" w:rsidRPr="00140320" w:rsidRDefault="00892791" w:rsidP="00345838">
      <w:r w:rsidRPr="00140320">
        <w:t>Dodavatel, který podal nabídku v</w:t>
      </w:r>
      <w:r w:rsidR="00140320">
        <w:t>e</w:t>
      </w:r>
      <w:r w:rsidRPr="00140320">
        <w:t xml:space="preserve"> </w:t>
      </w:r>
      <w:r w:rsidR="00140320">
        <w:t>výběrovém</w:t>
      </w:r>
      <w:r w:rsidRPr="00140320">
        <w:t xml:space="preserve"> řízení, nesmí být současně poddodavatelem, jehož prostřednictvím jiný dodavatel v tomtéž </w:t>
      </w:r>
      <w:r w:rsidR="00CB63C4" w:rsidRPr="00140320">
        <w:t xml:space="preserve">výběrovém </w:t>
      </w:r>
      <w:r w:rsidRPr="00140320">
        <w:t xml:space="preserve">řízení prokazuje kvalifikaci. Pokud dodavatel podá více nabídek samostatně nebo společně s dalšími dodavateli, nebo je poddodavatelem, jehož prostřednictvím jiný dodavatel v tomtéž </w:t>
      </w:r>
      <w:r w:rsidR="00CB63C4" w:rsidRPr="00140320">
        <w:t xml:space="preserve">výběrovém </w:t>
      </w:r>
      <w:r w:rsidRPr="00140320">
        <w:t>řízení prokazuje kvalifikaci, zadavatel všechny nabídky podané takovým dodavatelem vyřadí. Dodavatele, jehož nabídka byla vyřazena, zadavatel bezodkladně vyloučí z účasti v</w:t>
      </w:r>
      <w:r w:rsidR="00CB63C4" w:rsidRPr="00140320">
        <w:t>e</w:t>
      </w:r>
      <w:r w:rsidRPr="00140320">
        <w:t xml:space="preserve"> </w:t>
      </w:r>
      <w:r w:rsidR="00CB63C4" w:rsidRPr="00140320">
        <w:t xml:space="preserve">výběrovém </w:t>
      </w:r>
      <w:r w:rsidRPr="00140320">
        <w:t>řízení a neprodleně o vyloučení, včetně uvedení důvodu, dodavatele písemně informuje.</w:t>
      </w:r>
    </w:p>
    <w:p w14:paraId="520A5752" w14:textId="71C4BABB" w:rsidR="00892791" w:rsidRDefault="00892791" w:rsidP="00345838"/>
    <w:p w14:paraId="233C7EE3" w14:textId="7BADAAA3" w:rsidR="00892791" w:rsidRDefault="00892791" w:rsidP="00345838">
      <w:pPr>
        <w:pStyle w:val="Nadpis1"/>
      </w:pPr>
      <w:r w:rsidRPr="00892791">
        <w:t>PODMÍNKY SESTAVENÍ A PODÁNÍ NABÍDEK</w:t>
      </w:r>
    </w:p>
    <w:p w14:paraId="4ACA3C4E" w14:textId="2CEE1723" w:rsidR="00892791" w:rsidRDefault="00892791" w:rsidP="00345838">
      <w:pPr>
        <w:pStyle w:val="Nadpis2"/>
      </w:pPr>
      <w:r w:rsidRPr="00892791">
        <w:t>Požadavky na formu a obsah zpracování nabídek</w:t>
      </w:r>
    </w:p>
    <w:p w14:paraId="279019A0" w14:textId="77777777" w:rsidR="009A6E55" w:rsidRDefault="009A6E55" w:rsidP="009A6E55">
      <w:pPr>
        <w:rPr>
          <w:szCs w:val="20"/>
        </w:rPr>
      </w:pPr>
      <w:r>
        <w:rPr>
          <w:szCs w:val="20"/>
        </w:rPr>
        <w:t xml:space="preserve">Tato veřejná zakázka je zadávána prostřednictvím elektronického nástroje zadavatele na adrese profilu zadavatele </w:t>
      </w:r>
      <w:hyperlink r:id="rId13" w:history="1">
        <w:r>
          <w:rPr>
            <w:rStyle w:val="Hypertextovodkaz"/>
          </w:rPr>
          <w:t>https://zakazky.mukolin.cz/</w:t>
        </w:r>
      </w:hyperlink>
      <w:r>
        <w:rPr>
          <w:szCs w:val="20"/>
        </w:rPr>
        <w:t>.</w:t>
      </w:r>
    </w:p>
    <w:p w14:paraId="5E33D4BB" w14:textId="77777777" w:rsidR="009A6E55" w:rsidRPr="00340D38" w:rsidRDefault="009A6E55" w:rsidP="009A6E55">
      <w:r>
        <w:rPr>
          <w:szCs w:val="20"/>
        </w:rPr>
        <w:t>Veškerá komunikace se zadavatelem může probíhat pouze elektronicky přednostně prostřednictvím tohoto elektronického nástroje, popř. prostřednictvím Informačního systému datových schránek (identifikátor DS zadavatele: qdtb7vx).</w:t>
      </w:r>
    </w:p>
    <w:p w14:paraId="05750053" w14:textId="77777777" w:rsidR="009A6E55" w:rsidRDefault="009A6E55" w:rsidP="009A6E55">
      <w:pPr>
        <w:rPr>
          <w:szCs w:val="20"/>
        </w:rPr>
      </w:pPr>
      <w:r>
        <w:rPr>
          <w:szCs w:val="20"/>
        </w:rPr>
        <w:lastRenderedPageBreak/>
        <w:t>Nabídky mohou být podány výhradně elektronicky prostřednictvím profilu zadavatele (elektronického nástroje E-ZAK) v souladu s § 211 ZZVZ – žádný jiný způsob podání nabídek není přípustný. Nabídka musí být zpracována prostřednictvím akceptovatelných formátů souborů, tj. Microsoft Office (Word, Excel), Open Office, PDF, JPEG, GIF, nebo PNG.</w:t>
      </w:r>
    </w:p>
    <w:p w14:paraId="749A2353" w14:textId="77777777" w:rsidR="009A6E55" w:rsidRDefault="009A6E55" w:rsidP="009A6E55">
      <w:r>
        <w:t xml:space="preserve">Veškeré náležitosti a úkony (např. registrace do elektronického nástroje zadavatele) nutné pro podání nabídky je účastník povinen zjistit a zajistit si samostatně v dostatečném předstihu před koncem lhůty pro podání nabídek. </w:t>
      </w:r>
    </w:p>
    <w:p w14:paraId="584A29AD" w14:textId="77777777" w:rsidR="009A6E55" w:rsidRDefault="009A6E55" w:rsidP="009A6E55">
      <w:r>
        <w:t xml:space="preserve">Nabídka bude zpracována v českém jazyce a elektronicky podepsána osobou oprávněnou jednat jménem uchazeče či osobou oprávněnou jednat za uchazeče s přiložením plné moci. </w:t>
      </w:r>
    </w:p>
    <w:p w14:paraId="302DBBDF" w14:textId="179E6AB9" w:rsidR="009A6E55" w:rsidRPr="00340D38" w:rsidRDefault="009A6E55" w:rsidP="009A6E55">
      <w:r>
        <w:t xml:space="preserve">Způsob podání nabídky je upřesněn v uživatelské příručce pro dodavatele v systému E-ZAK (dostupný z profilu zadavatele). </w:t>
      </w:r>
      <w:r w:rsidRPr="00340D38">
        <w:rPr>
          <w:bCs/>
        </w:rPr>
        <w:t>Zadavatel nenese odpovědnost za technické podmínky na straně účastníka</w:t>
      </w:r>
      <w:r w:rsidRPr="00340D38">
        <w:t>. Zadavatel doporučuje zohlednit zejména rychlost připojení k internetu při podávání nabídky tak, aby tato byla podána ve lhůtě pro podání nabídek (podáním nabídky se rozumí finální odeslání nabídky do</w:t>
      </w:r>
      <w:r w:rsidR="00E27A85">
        <w:t> </w:t>
      </w:r>
      <w:r w:rsidRPr="00340D38">
        <w:t xml:space="preserve">elektronického nástroje po nahrání veškerých příloh). </w:t>
      </w:r>
    </w:p>
    <w:p w14:paraId="658D34AC" w14:textId="77777777" w:rsidR="009A6E55" w:rsidRDefault="009A6E55" w:rsidP="009A6E55">
      <w:r>
        <w:t xml:space="preserve">Účastník v nabídce výslovně uvede kontaktní adresu pro písemný styk mezi účastníkem a zadavatelem. Pokud podává nabídku více účastníků společně, uvedou též osobu, která bude zmocněna zastupovat tyto účastníky při styku se zadavatelem v průběhu zadávacího řízení. </w:t>
      </w:r>
    </w:p>
    <w:p w14:paraId="752AA271" w14:textId="77777777" w:rsidR="009A6E55" w:rsidRDefault="009A6E55" w:rsidP="009A6E55">
      <w:r>
        <w:t xml:space="preserve">Nabídka musí být zpracována v českém jazyce s výjimkou dokladů pro splnění technické kvalifikace (viz požadavky uvedené v kap. </w:t>
      </w:r>
      <w:r>
        <w:fldChar w:fldCharType="begin"/>
      </w:r>
      <w:r>
        <w:instrText xml:space="preserve"> REF _Ref6860107 \r \h </w:instrText>
      </w:r>
      <w:r>
        <w:fldChar w:fldCharType="separate"/>
      </w:r>
      <w:r>
        <w:t>6.7</w:t>
      </w:r>
      <w:r>
        <w:fldChar w:fldCharType="end"/>
      </w:r>
      <w:r>
        <w:t xml:space="preserve"> Technická kvalifikace této zadávací dokumentace).</w:t>
      </w:r>
    </w:p>
    <w:p w14:paraId="1C28C2AA" w14:textId="77777777" w:rsidR="009A6E55" w:rsidRDefault="009A6E55" w:rsidP="009A6E55">
      <w:pPr>
        <w:pStyle w:val="Nadpis2"/>
      </w:pPr>
      <w:r w:rsidRPr="00892791">
        <w:t>Požadavky na sestavení nabídky – členění a pořadí obsahu nabídek</w:t>
      </w:r>
    </w:p>
    <w:p w14:paraId="1E3C844D" w14:textId="64A4551B" w:rsidR="009A6E55" w:rsidRDefault="009A6E55" w:rsidP="009A6E55">
      <w:pPr>
        <w:rPr>
          <w:szCs w:val="20"/>
        </w:rPr>
      </w:pPr>
      <w:r>
        <w:rPr>
          <w:szCs w:val="20"/>
        </w:rPr>
        <w:t>Nabídka musí obsahovat veškeré dokumenty požadované zadavatelem v zadávací dokumentaci.</w:t>
      </w:r>
    </w:p>
    <w:p w14:paraId="50E28861" w14:textId="5D46A5C0" w:rsidR="00CB63C4" w:rsidRPr="003838DC" w:rsidRDefault="009A6E55" w:rsidP="00345838">
      <w:r>
        <w:t>Zadavatel doporučuje dodavatelům, aby zpracovali nabídku v následujícím členění:</w:t>
      </w:r>
    </w:p>
    <w:p w14:paraId="1D96D1C0" w14:textId="3DD62E15" w:rsidR="00CB63C4" w:rsidRPr="003838DC" w:rsidRDefault="00CB63C4" w:rsidP="004C53B0">
      <w:pPr>
        <w:pStyle w:val="Odstavecseseznamem"/>
        <w:numPr>
          <w:ilvl w:val="0"/>
          <w:numId w:val="8"/>
        </w:numPr>
        <w:spacing w:after="120"/>
        <w:ind w:left="714" w:hanging="357"/>
        <w:contextualSpacing w:val="0"/>
      </w:pPr>
      <w:r w:rsidRPr="003838DC">
        <w:t>krycí list nabídky doplněný o identifikační údaje účastníka</w:t>
      </w:r>
      <w:r w:rsidR="009A6E55">
        <w:t>,</w:t>
      </w:r>
      <w:r w:rsidRPr="003838DC">
        <w:t xml:space="preserve"> nabídkovou cenu </w:t>
      </w:r>
      <w:r w:rsidR="009A6E55">
        <w:t xml:space="preserve">a </w:t>
      </w:r>
      <w:r w:rsidR="009A6E55" w:rsidRPr="003838DC">
        <w:t xml:space="preserve">čestné prohlášení o souhlasu se závazným návrhem smlouvy </w:t>
      </w:r>
      <w:r w:rsidRPr="003838DC">
        <w:t xml:space="preserve">v rozsahu uvedeném v příloze č. </w:t>
      </w:r>
      <w:r w:rsidR="009A6E55">
        <w:t>2</w:t>
      </w:r>
      <w:r w:rsidRPr="003838DC">
        <w:t xml:space="preserve"> této výzvy</w:t>
      </w:r>
      <w:r w:rsidR="00F83126">
        <w:t>;</w:t>
      </w:r>
    </w:p>
    <w:p w14:paraId="3DF9646E" w14:textId="3694A20C" w:rsidR="00CB63C4" w:rsidRDefault="00CB63C4" w:rsidP="004C53B0">
      <w:pPr>
        <w:pStyle w:val="Odstavecseseznamem"/>
        <w:numPr>
          <w:ilvl w:val="0"/>
          <w:numId w:val="8"/>
        </w:numPr>
        <w:spacing w:after="120"/>
        <w:ind w:left="714" w:hanging="357"/>
        <w:contextualSpacing w:val="0"/>
      </w:pPr>
      <w:r w:rsidRPr="003838DC">
        <w:t>dokumenty prokazující splnění kvalifikace</w:t>
      </w:r>
      <w:r w:rsidR="00F83126">
        <w:t>;</w:t>
      </w:r>
    </w:p>
    <w:p w14:paraId="7F1964EC" w14:textId="2B85B483" w:rsidR="00480276" w:rsidRDefault="00480276" w:rsidP="004C53B0">
      <w:pPr>
        <w:pStyle w:val="Odstavecseseznamem"/>
        <w:numPr>
          <w:ilvl w:val="0"/>
          <w:numId w:val="8"/>
        </w:numPr>
        <w:spacing w:after="120"/>
        <w:ind w:left="714" w:hanging="357"/>
        <w:contextualSpacing w:val="0"/>
      </w:pPr>
      <w:r>
        <w:t>seznam poddodavatelů nebo čestné prohlášení o nevyužití služeb poddodavatelů;</w:t>
      </w:r>
    </w:p>
    <w:p w14:paraId="06764FDF" w14:textId="41DC5ADF" w:rsidR="00F83126" w:rsidRDefault="00F83126" w:rsidP="004C53B0">
      <w:pPr>
        <w:pStyle w:val="Odstavecseseznamem"/>
        <w:numPr>
          <w:ilvl w:val="0"/>
          <w:numId w:val="8"/>
        </w:numPr>
        <w:spacing w:after="120"/>
        <w:ind w:left="714" w:hanging="357"/>
        <w:contextualSpacing w:val="0"/>
      </w:pPr>
      <w:r>
        <w:t>podrobný položkový rozpočet;</w:t>
      </w:r>
    </w:p>
    <w:p w14:paraId="5EFA49CE" w14:textId="07D35866" w:rsidR="004703AA" w:rsidRDefault="004703AA" w:rsidP="004C53B0">
      <w:pPr>
        <w:pStyle w:val="Odstavecseseznamem"/>
        <w:numPr>
          <w:ilvl w:val="0"/>
          <w:numId w:val="8"/>
        </w:numPr>
        <w:spacing w:after="120"/>
        <w:ind w:left="714" w:hanging="357"/>
        <w:contextualSpacing w:val="0"/>
      </w:pPr>
      <w:r w:rsidRPr="00480276">
        <w:t>technická specifikace nabízeného plnění (ve formě vyplněné tabulky z přílohy č. 1 ZD),</w:t>
      </w:r>
    </w:p>
    <w:p w14:paraId="51F2F0C9" w14:textId="6DB1A83F" w:rsidR="002A20FC" w:rsidRPr="00480276" w:rsidRDefault="002A20FC" w:rsidP="004C53B0">
      <w:pPr>
        <w:pStyle w:val="Odstavecseseznamem"/>
        <w:numPr>
          <w:ilvl w:val="0"/>
          <w:numId w:val="8"/>
        </w:numPr>
        <w:spacing w:after="120"/>
        <w:ind w:left="714" w:hanging="357"/>
        <w:contextualSpacing w:val="0"/>
      </w:pPr>
      <w:r>
        <w:t>harmonogram plnění,</w:t>
      </w:r>
    </w:p>
    <w:p w14:paraId="70666158" w14:textId="535824D2" w:rsidR="00CB63C4" w:rsidRDefault="00CB63C4" w:rsidP="004C53B0">
      <w:pPr>
        <w:pStyle w:val="Odstavecseseznamem"/>
        <w:numPr>
          <w:ilvl w:val="0"/>
          <w:numId w:val="8"/>
        </w:numPr>
        <w:spacing w:after="120"/>
        <w:ind w:left="714" w:hanging="357"/>
        <w:contextualSpacing w:val="0"/>
      </w:pPr>
      <w:r w:rsidRPr="005C5A72">
        <w:t>případná další čestná prohlášení dodavatele vyžadovaná zadavatelem nebo předložená dodavatelem</w:t>
      </w:r>
      <w:r w:rsidR="009A6E55">
        <w:t>.</w:t>
      </w:r>
    </w:p>
    <w:p w14:paraId="518FE929" w14:textId="0DA1A6DA" w:rsidR="00F83126" w:rsidRDefault="00F83126" w:rsidP="00345838">
      <w:pPr>
        <w:rPr>
          <w:szCs w:val="20"/>
        </w:rPr>
      </w:pPr>
    </w:p>
    <w:p w14:paraId="2AA1B9EA" w14:textId="6A952F6A" w:rsidR="00892791" w:rsidRDefault="00892791" w:rsidP="00345838">
      <w:pPr>
        <w:pStyle w:val="Nadpis1"/>
      </w:pPr>
      <w:r w:rsidRPr="00892791">
        <w:t>ZPŮSOB, LHŮTA A MÍSTO PRO PODÁNÍ NABÍDEK</w:t>
      </w:r>
    </w:p>
    <w:p w14:paraId="554521B5" w14:textId="1E9A603C" w:rsidR="00892791" w:rsidRDefault="00892791" w:rsidP="00345838">
      <w:pPr>
        <w:pStyle w:val="Nadpis2"/>
      </w:pPr>
      <w:r w:rsidRPr="00892791">
        <w:t>Způsob podání nabídek</w:t>
      </w:r>
    </w:p>
    <w:p w14:paraId="3B1FA757" w14:textId="1C7C4F3F" w:rsidR="00892791" w:rsidRDefault="00F83126" w:rsidP="00345838">
      <w:pPr>
        <w:rPr>
          <w:rFonts w:asciiTheme="majorHAnsi" w:hAnsiTheme="majorHAnsi" w:cstheme="majorHAnsi"/>
        </w:rPr>
      </w:pPr>
      <w:r>
        <w:t xml:space="preserve">Nabídky mohou být podávány analogicky k § 211 ZZVZ pouze v elektronické podobě prostřednictvím elektronického nástroje na profilu zadavatele. Podání nabídky v listinné podobě zadavatel nepřipouští.  </w:t>
      </w:r>
      <w:r w:rsidRPr="00892791">
        <w:rPr>
          <w:szCs w:val="20"/>
        </w:rPr>
        <w:t>Varianty nabídky zadavatel nepřipouští.</w:t>
      </w:r>
    </w:p>
    <w:p w14:paraId="2F386328" w14:textId="2AB45F32" w:rsidR="00892791" w:rsidRDefault="00892791" w:rsidP="00345838">
      <w:pPr>
        <w:pStyle w:val="Nadpis2"/>
      </w:pPr>
      <w:r w:rsidRPr="00892791">
        <w:t>Lhůta pro podání nabídek</w:t>
      </w:r>
    </w:p>
    <w:p w14:paraId="351A2AEA" w14:textId="1C58B0D3" w:rsidR="00F83126" w:rsidRDefault="00F83126" w:rsidP="00F83126">
      <w:pPr>
        <w:pStyle w:val="Default"/>
        <w:rPr>
          <w:sz w:val="20"/>
          <w:szCs w:val="20"/>
        </w:rPr>
      </w:pPr>
      <w:r w:rsidRPr="0072236E">
        <w:rPr>
          <w:sz w:val="20"/>
          <w:szCs w:val="20"/>
        </w:rPr>
        <w:t xml:space="preserve">Nabídku doručte nejpozději do </w:t>
      </w:r>
      <w:r w:rsidR="0072236E" w:rsidRPr="0072236E">
        <w:rPr>
          <w:b/>
          <w:bCs/>
          <w:sz w:val="20"/>
          <w:szCs w:val="20"/>
        </w:rPr>
        <w:t>17.08</w:t>
      </w:r>
      <w:r w:rsidRPr="0072236E">
        <w:rPr>
          <w:b/>
          <w:bCs/>
          <w:sz w:val="20"/>
          <w:szCs w:val="20"/>
        </w:rPr>
        <w:t xml:space="preserve">. 2021 do </w:t>
      </w:r>
      <w:r w:rsidR="004C1C4F" w:rsidRPr="0072236E">
        <w:rPr>
          <w:b/>
          <w:bCs/>
          <w:sz w:val="20"/>
          <w:szCs w:val="20"/>
        </w:rPr>
        <w:t>10</w:t>
      </w:r>
      <w:r w:rsidRPr="0072236E">
        <w:rPr>
          <w:b/>
          <w:bCs/>
          <w:sz w:val="20"/>
          <w:szCs w:val="20"/>
        </w:rPr>
        <w:t>:</w:t>
      </w:r>
      <w:r w:rsidR="004C1C4F" w:rsidRPr="0072236E">
        <w:rPr>
          <w:b/>
          <w:bCs/>
          <w:sz w:val="20"/>
          <w:szCs w:val="20"/>
        </w:rPr>
        <w:t>00</w:t>
      </w:r>
      <w:r w:rsidRPr="0072236E">
        <w:rPr>
          <w:b/>
          <w:bCs/>
          <w:sz w:val="20"/>
          <w:szCs w:val="20"/>
        </w:rPr>
        <w:t xml:space="preserve"> hod</w:t>
      </w:r>
      <w:r w:rsidRPr="0072236E">
        <w:rPr>
          <w:sz w:val="20"/>
          <w:szCs w:val="20"/>
        </w:rPr>
        <w:t>.</w:t>
      </w:r>
      <w:r>
        <w:rPr>
          <w:sz w:val="20"/>
          <w:szCs w:val="20"/>
        </w:rPr>
        <w:t xml:space="preserve"> </w:t>
      </w:r>
    </w:p>
    <w:p w14:paraId="64B4B9E2" w14:textId="47ED2217" w:rsidR="00892791" w:rsidRDefault="00F83126" w:rsidP="00F83126">
      <w:pPr>
        <w:rPr>
          <w:szCs w:val="20"/>
        </w:rPr>
      </w:pPr>
      <w:r w:rsidRPr="00892791">
        <w:rPr>
          <w:szCs w:val="20"/>
        </w:rPr>
        <w:t>Nabídky, které budou doručeny po uplynutí lhůty pro podání nabídek, se nebudou považovat za podané, komise je nebude otevírat a v průběhu zadávacího řízení k nim nebude přihlíženo.</w:t>
      </w:r>
    </w:p>
    <w:p w14:paraId="16FA7490" w14:textId="13821CE6" w:rsidR="00892791" w:rsidRDefault="00892791" w:rsidP="00345838">
      <w:pPr>
        <w:pStyle w:val="Nadpis2"/>
      </w:pPr>
      <w:r w:rsidRPr="00892791">
        <w:lastRenderedPageBreak/>
        <w:t>Otevírání nabídek</w:t>
      </w:r>
    </w:p>
    <w:p w14:paraId="3AB87D92" w14:textId="53605F91" w:rsidR="00803E7E" w:rsidRDefault="00F83126" w:rsidP="00B1502B">
      <w:r>
        <w:rPr>
          <w:szCs w:val="20"/>
        </w:rPr>
        <w:t>Otevírání nabídek proběhne bez zbytečného odkladu po uplynutí lhůty pro podání nabídek. Otevřením nabídky v elektronické podobě se rozumí zpřístupnění jejího obsahu zadavateli, a otevírání nabídek tedy bude provedeno analogicky k ust. § 109 a § 110 ZZVZ neveřejné.</w:t>
      </w:r>
    </w:p>
    <w:p w14:paraId="2E293C9D" w14:textId="7F0728F9" w:rsidR="00892791" w:rsidRDefault="00892791" w:rsidP="00892791">
      <w:pPr>
        <w:rPr>
          <w:szCs w:val="20"/>
        </w:rPr>
      </w:pPr>
    </w:p>
    <w:p w14:paraId="50BBE5C5" w14:textId="51C48994" w:rsidR="00892791" w:rsidRDefault="00892791" w:rsidP="00B1502B">
      <w:pPr>
        <w:pStyle w:val="Nadpis1"/>
      </w:pPr>
      <w:r w:rsidRPr="00892791">
        <w:t>PRAVIDLA PRO POSOUZENÍ A HODNOCENÍ NABÍDEK</w:t>
      </w:r>
    </w:p>
    <w:p w14:paraId="607A731B" w14:textId="2823D3C2" w:rsidR="00812A8E" w:rsidRPr="00892791" w:rsidRDefault="00812A8E" w:rsidP="00B1502B">
      <w:pPr>
        <w:pStyle w:val="Nadpis2"/>
      </w:pPr>
      <w:r w:rsidRPr="00812A8E">
        <w:t xml:space="preserve">Pravidla pro </w:t>
      </w:r>
      <w:r w:rsidR="003A55E3">
        <w:t>posouzení</w:t>
      </w:r>
      <w:r w:rsidRPr="00812A8E">
        <w:t xml:space="preserve"> nabídek</w:t>
      </w:r>
    </w:p>
    <w:p w14:paraId="5EBB0EB1" w14:textId="0F30D95C" w:rsidR="00837AB5" w:rsidRDefault="00837AB5" w:rsidP="00837AB5">
      <w:pPr>
        <w:rPr>
          <w:szCs w:val="20"/>
        </w:rPr>
      </w:pPr>
      <w:r>
        <w:rPr>
          <w:szCs w:val="20"/>
        </w:rPr>
        <w:t xml:space="preserve">V souladu s ust. § 39 odst. 5) ZZVZ je zadavatel oprávněn věrohodnost poskytnutých údajů a dokladů a může si je také opatřovat sám. </w:t>
      </w:r>
      <w:r w:rsidR="003838DC">
        <w:rPr>
          <w:szCs w:val="20"/>
        </w:rPr>
        <w:t>Z</w:t>
      </w:r>
      <w:r>
        <w:rPr>
          <w:szCs w:val="20"/>
        </w:rPr>
        <w:t xml:space="preserve">adavatel </w:t>
      </w:r>
      <w:r w:rsidR="003838DC">
        <w:rPr>
          <w:szCs w:val="20"/>
        </w:rPr>
        <w:t xml:space="preserve">může </w:t>
      </w:r>
      <w:r>
        <w:rPr>
          <w:szCs w:val="20"/>
        </w:rPr>
        <w:t xml:space="preserve">po účastníkovi </w:t>
      </w:r>
      <w:r w:rsidR="003838DC">
        <w:rPr>
          <w:szCs w:val="20"/>
        </w:rPr>
        <w:t xml:space="preserve">výběrového </w:t>
      </w:r>
      <w:r>
        <w:rPr>
          <w:szCs w:val="20"/>
        </w:rPr>
        <w:t>řízení požadovat, aby v</w:t>
      </w:r>
      <w:r w:rsidR="00E27A85">
        <w:rPr>
          <w:szCs w:val="20"/>
        </w:rPr>
        <w:t> </w:t>
      </w:r>
      <w:r>
        <w:rPr>
          <w:szCs w:val="20"/>
        </w:rPr>
        <w:t>přiměřené lhůtě objasnil předložené údaje nebo doklady, nebo doplnil další či chybějící údaje anebo doklady.</w:t>
      </w:r>
    </w:p>
    <w:p w14:paraId="59032CDC" w14:textId="637B03A6" w:rsidR="00892791" w:rsidRDefault="00837AB5" w:rsidP="00B1502B">
      <w:pPr>
        <w:pStyle w:val="Nadpis2"/>
      </w:pPr>
      <w:r w:rsidRPr="00837AB5">
        <w:t>Kritéria hodnocení</w:t>
      </w:r>
    </w:p>
    <w:p w14:paraId="7B55041D" w14:textId="75C7EAF2" w:rsidR="00D21E61" w:rsidRDefault="00D21E61" w:rsidP="00D21E61">
      <w:pPr>
        <w:pStyle w:val="Default"/>
        <w:spacing w:before="120" w:after="120"/>
        <w:jc w:val="both"/>
        <w:rPr>
          <w:color w:val="auto"/>
          <w:sz w:val="20"/>
          <w:szCs w:val="22"/>
        </w:rPr>
      </w:pPr>
      <w:r w:rsidRPr="007149E1">
        <w:rPr>
          <w:color w:val="auto"/>
          <w:sz w:val="20"/>
          <w:szCs w:val="22"/>
        </w:rPr>
        <w:t xml:space="preserve">Základním hodnotícím kritériem veřejné zakázky je ekonomická výhodnost </w:t>
      </w:r>
      <w:r w:rsidR="003A55E3">
        <w:rPr>
          <w:color w:val="auto"/>
          <w:sz w:val="20"/>
          <w:szCs w:val="22"/>
        </w:rPr>
        <w:t xml:space="preserve">analogicky k </w:t>
      </w:r>
      <w:r w:rsidRPr="007149E1">
        <w:rPr>
          <w:color w:val="auto"/>
          <w:sz w:val="20"/>
          <w:szCs w:val="22"/>
        </w:rPr>
        <w:t>§ 114 ZZVZ. Zadavatel bude hodnotit ekonomickou výhodnost nabídek na základě nejvýhodnějšího poměru nabídkové ceny a</w:t>
      </w:r>
      <w:r>
        <w:rPr>
          <w:color w:val="auto"/>
          <w:sz w:val="20"/>
          <w:szCs w:val="22"/>
        </w:rPr>
        <w:t> </w:t>
      </w:r>
      <w:r w:rsidRPr="007149E1">
        <w:rPr>
          <w:color w:val="auto"/>
          <w:sz w:val="20"/>
          <w:szCs w:val="22"/>
        </w:rPr>
        <w:t>kvality v souladu s</w:t>
      </w:r>
      <w:r w:rsidR="003A55E3">
        <w:rPr>
          <w:color w:val="auto"/>
          <w:sz w:val="20"/>
          <w:szCs w:val="22"/>
        </w:rPr>
        <w:t xml:space="preserve"> ust. </w:t>
      </w:r>
      <w:r w:rsidRPr="007149E1">
        <w:rPr>
          <w:color w:val="auto"/>
          <w:sz w:val="20"/>
          <w:szCs w:val="22"/>
        </w:rPr>
        <w:t>§ 114 odst. 2 ZZVZ.</w:t>
      </w:r>
    </w:p>
    <w:p w14:paraId="42E1485C" w14:textId="759A8D59" w:rsidR="00837AB5" w:rsidRDefault="00D21E61" w:rsidP="00D21E61">
      <w:r w:rsidRPr="00666D79">
        <w:t>Pro hodnocení nabídek použije hodnotící komise bodovací stupnici v rozsahu 0 až 100 bodů. Každé jednotlivé nabídce je dle váhy, resp. dílčí váhy přidělena příslušná bodová hodnota, která odráží úspěšnost předmětné nabídky v rámci dílčího hodnotícího kritéria. Jednotlivé přidělené body budou dále přepočteny podle váhy dílčího hodnotícího kritéria.</w:t>
      </w:r>
    </w:p>
    <w:p w14:paraId="452D9441" w14:textId="009D6473" w:rsidR="00D21E61" w:rsidRDefault="00D21E61" w:rsidP="00D21E61"/>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6974"/>
      </w:tblGrid>
      <w:tr w:rsidR="00D21E61" w:rsidRPr="005B513A" w14:paraId="1635D4D5" w14:textId="77777777" w:rsidTr="00DC1186">
        <w:trPr>
          <w:trHeight w:val="230"/>
        </w:trPr>
        <w:tc>
          <w:tcPr>
            <w:tcW w:w="2098" w:type="dxa"/>
            <w:shd w:val="clear" w:color="auto" w:fill="D9D9D9" w:themeFill="background1" w:themeFillShade="D9"/>
          </w:tcPr>
          <w:p w14:paraId="2E73A1D6" w14:textId="77777777" w:rsidR="00D21E61" w:rsidRPr="005B513A" w:rsidRDefault="00D21E61" w:rsidP="00DC1186">
            <w:pPr>
              <w:pStyle w:val="Default"/>
              <w:spacing w:before="60" w:after="60"/>
              <w:rPr>
                <w:b/>
                <w:sz w:val="20"/>
                <w:szCs w:val="20"/>
              </w:rPr>
            </w:pPr>
            <w:r w:rsidRPr="005B513A">
              <w:rPr>
                <w:b/>
                <w:color w:val="auto"/>
                <w:sz w:val="20"/>
                <w:szCs w:val="20"/>
              </w:rPr>
              <w:t xml:space="preserve">ID hodnotícího kritéria: </w:t>
            </w:r>
          </w:p>
        </w:tc>
        <w:tc>
          <w:tcPr>
            <w:tcW w:w="6974" w:type="dxa"/>
            <w:shd w:val="clear" w:color="auto" w:fill="D9D9D9" w:themeFill="background1" w:themeFillShade="D9"/>
          </w:tcPr>
          <w:p w14:paraId="251448B4" w14:textId="77777777" w:rsidR="00D21E61" w:rsidRPr="005B513A" w:rsidRDefault="00D21E61" w:rsidP="00DC1186">
            <w:pPr>
              <w:pStyle w:val="Default"/>
              <w:spacing w:before="60" w:after="60"/>
              <w:rPr>
                <w:b/>
                <w:sz w:val="20"/>
                <w:szCs w:val="20"/>
              </w:rPr>
            </w:pPr>
            <w:r>
              <w:rPr>
                <w:b/>
                <w:bCs/>
                <w:sz w:val="20"/>
                <w:szCs w:val="20"/>
              </w:rPr>
              <w:t>H</w:t>
            </w:r>
            <w:r w:rsidRPr="005B513A">
              <w:rPr>
                <w:b/>
                <w:bCs/>
                <w:sz w:val="20"/>
                <w:szCs w:val="20"/>
              </w:rPr>
              <w:t xml:space="preserve">odnotící </w:t>
            </w:r>
            <w:r>
              <w:rPr>
                <w:b/>
                <w:bCs/>
                <w:sz w:val="20"/>
                <w:szCs w:val="20"/>
              </w:rPr>
              <w:t xml:space="preserve">/ dílčí hodnotící </w:t>
            </w:r>
            <w:r w:rsidRPr="005B513A">
              <w:rPr>
                <w:b/>
                <w:bCs/>
                <w:sz w:val="20"/>
                <w:szCs w:val="20"/>
              </w:rPr>
              <w:t xml:space="preserve">kritérium </w:t>
            </w:r>
          </w:p>
        </w:tc>
      </w:tr>
      <w:tr w:rsidR="00D21E61" w:rsidRPr="00ED0374" w14:paraId="6CDBABD5" w14:textId="77777777" w:rsidTr="00DC1186">
        <w:trPr>
          <w:trHeight w:val="103"/>
        </w:trPr>
        <w:tc>
          <w:tcPr>
            <w:tcW w:w="2098" w:type="dxa"/>
          </w:tcPr>
          <w:p w14:paraId="2A32AA63" w14:textId="77777777" w:rsidR="00D21E61" w:rsidRPr="00ED0374" w:rsidRDefault="00D21E61" w:rsidP="00DC1186">
            <w:pPr>
              <w:pStyle w:val="Default"/>
              <w:spacing w:before="60" w:after="60"/>
              <w:rPr>
                <w:b/>
                <w:sz w:val="20"/>
                <w:szCs w:val="20"/>
              </w:rPr>
            </w:pPr>
            <w:r w:rsidRPr="00ED0374">
              <w:rPr>
                <w:b/>
                <w:sz w:val="20"/>
                <w:szCs w:val="20"/>
              </w:rPr>
              <w:t xml:space="preserve">A) </w:t>
            </w:r>
          </w:p>
        </w:tc>
        <w:tc>
          <w:tcPr>
            <w:tcW w:w="6974" w:type="dxa"/>
            <w:shd w:val="clear" w:color="auto" w:fill="auto"/>
          </w:tcPr>
          <w:p w14:paraId="74BF603B" w14:textId="77777777" w:rsidR="00D21E61" w:rsidRPr="00ED0374" w:rsidRDefault="00D21E61" w:rsidP="00DC1186">
            <w:pPr>
              <w:pStyle w:val="Default"/>
              <w:spacing w:before="60" w:after="60"/>
              <w:jc w:val="both"/>
              <w:rPr>
                <w:b/>
                <w:sz w:val="20"/>
                <w:szCs w:val="20"/>
              </w:rPr>
            </w:pPr>
            <w:r w:rsidRPr="00ED0374">
              <w:rPr>
                <w:b/>
                <w:sz w:val="20"/>
                <w:szCs w:val="20"/>
              </w:rPr>
              <w:t xml:space="preserve">Celková cena plnění (celková váha 60 %) </w:t>
            </w:r>
          </w:p>
        </w:tc>
      </w:tr>
      <w:tr w:rsidR="00D21E61" w:rsidRPr="005B513A" w14:paraId="0CFAE6AB" w14:textId="77777777" w:rsidTr="00DC1186">
        <w:trPr>
          <w:trHeight w:val="103"/>
        </w:trPr>
        <w:tc>
          <w:tcPr>
            <w:tcW w:w="2098" w:type="dxa"/>
          </w:tcPr>
          <w:p w14:paraId="425BFE4B" w14:textId="71F264DF" w:rsidR="00D21E61" w:rsidRPr="00ED0374" w:rsidRDefault="00666D79" w:rsidP="00DC1186">
            <w:pPr>
              <w:pStyle w:val="Default"/>
              <w:spacing w:before="60" w:after="60"/>
              <w:rPr>
                <w:b/>
                <w:sz w:val="20"/>
                <w:szCs w:val="20"/>
              </w:rPr>
            </w:pPr>
            <w:r>
              <w:rPr>
                <w:b/>
                <w:sz w:val="20"/>
                <w:szCs w:val="20"/>
              </w:rPr>
              <w:t>B</w:t>
            </w:r>
            <w:r w:rsidR="00D21E61" w:rsidRPr="00ED0374">
              <w:rPr>
                <w:b/>
                <w:sz w:val="20"/>
                <w:szCs w:val="20"/>
              </w:rPr>
              <w:t xml:space="preserve">) </w:t>
            </w:r>
          </w:p>
        </w:tc>
        <w:tc>
          <w:tcPr>
            <w:tcW w:w="6974" w:type="dxa"/>
            <w:shd w:val="clear" w:color="auto" w:fill="auto"/>
          </w:tcPr>
          <w:p w14:paraId="5E375D15" w14:textId="6127792A" w:rsidR="00D21E61" w:rsidRPr="00ED0374" w:rsidRDefault="00666D79" w:rsidP="00DC1186">
            <w:pPr>
              <w:pStyle w:val="Default"/>
              <w:spacing w:before="60" w:after="60"/>
              <w:jc w:val="both"/>
              <w:rPr>
                <w:b/>
                <w:sz w:val="20"/>
                <w:szCs w:val="20"/>
              </w:rPr>
            </w:pPr>
            <w:r>
              <w:rPr>
                <w:b/>
                <w:sz w:val="20"/>
                <w:szCs w:val="20"/>
              </w:rPr>
              <w:t>Počet</w:t>
            </w:r>
            <w:r w:rsidR="003A55E3">
              <w:rPr>
                <w:b/>
                <w:sz w:val="20"/>
                <w:szCs w:val="20"/>
              </w:rPr>
              <w:t xml:space="preserve"> referenčních zakázek</w:t>
            </w:r>
            <w:r w:rsidR="00D21E61" w:rsidRPr="00ED0374">
              <w:rPr>
                <w:b/>
                <w:sz w:val="20"/>
                <w:szCs w:val="20"/>
              </w:rPr>
              <w:t xml:space="preserve"> (celková váha </w:t>
            </w:r>
            <w:r>
              <w:rPr>
                <w:b/>
                <w:sz w:val="20"/>
                <w:szCs w:val="20"/>
              </w:rPr>
              <w:t>4</w:t>
            </w:r>
            <w:r w:rsidR="00D21E61" w:rsidRPr="00ED0374">
              <w:rPr>
                <w:b/>
                <w:sz w:val="20"/>
                <w:szCs w:val="20"/>
              </w:rPr>
              <w:t xml:space="preserve">0 %) </w:t>
            </w:r>
          </w:p>
        </w:tc>
      </w:tr>
    </w:tbl>
    <w:p w14:paraId="3123334B" w14:textId="17FA9047" w:rsidR="00D21E61" w:rsidRDefault="00D21E61" w:rsidP="00D21E61">
      <w:pPr>
        <w:rPr>
          <w:b/>
        </w:rPr>
      </w:pPr>
    </w:p>
    <w:p w14:paraId="027DA6F9" w14:textId="297B5442" w:rsidR="007E5785" w:rsidRDefault="007E5785" w:rsidP="00D21E61">
      <w:pPr>
        <w:rPr>
          <w:b/>
        </w:rPr>
      </w:pPr>
    </w:p>
    <w:p w14:paraId="7B5C2B7C" w14:textId="77777777" w:rsidR="007E5785" w:rsidRDefault="007E5785" w:rsidP="00D21E61">
      <w:pPr>
        <w:rPr>
          <w:b/>
        </w:rPr>
      </w:pPr>
    </w:p>
    <w:p w14:paraId="795F9B5C" w14:textId="03C96922" w:rsidR="003A55E3" w:rsidRDefault="003A55E3" w:rsidP="00010439">
      <w:pPr>
        <w:pStyle w:val="Default"/>
        <w:spacing w:before="120" w:after="120"/>
        <w:jc w:val="both"/>
        <w:rPr>
          <w:b/>
          <w:color w:val="auto"/>
          <w:sz w:val="20"/>
          <w:szCs w:val="22"/>
        </w:rPr>
      </w:pPr>
      <w:r>
        <w:rPr>
          <w:b/>
          <w:color w:val="auto"/>
          <w:sz w:val="20"/>
          <w:szCs w:val="22"/>
        </w:rPr>
        <w:t>H</w:t>
      </w:r>
      <w:r w:rsidRPr="00283AC3">
        <w:rPr>
          <w:b/>
          <w:color w:val="auto"/>
          <w:sz w:val="20"/>
          <w:szCs w:val="22"/>
        </w:rPr>
        <w:t xml:space="preserve">odnotící kritérium </w:t>
      </w:r>
      <w:r>
        <w:rPr>
          <w:b/>
          <w:color w:val="auto"/>
          <w:sz w:val="20"/>
          <w:szCs w:val="22"/>
        </w:rPr>
        <w:t xml:space="preserve">A – </w:t>
      </w:r>
      <w:r>
        <w:rPr>
          <w:b/>
          <w:sz w:val="20"/>
          <w:szCs w:val="20"/>
        </w:rPr>
        <w:t>Celková cena plnění</w:t>
      </w:r>
    </w:p>
    <w:p w14:paraId="66620E18" w14:textId="60D2E6B6" w:rsidR="00010439" w:rsidRPr="003A55E3" w:rsidRDefault="00010439" w:rsidP="00010439">
      <w:pPr>
        <w:pStyle w:val="Default"/>
        <w:spacing w:before="120" w:after="120"/>
        <w:jc w:val="both"/>
        <w:rPr>
          <w:bCs/>
          <w:color w:val="auto"/>
          <w:sz w:val="20"/>
          <w:szCs w:val="22"/>
        </w:rPr>
      </w:pPr>
      <w:r w:rsidRPr="003A55E3">
        <w:rPr>
          <w:bCs/>
          <w:color w:val="auto"/>
          <w:sz w:val="20"/>
          <w:szCs w:val="22"/>
        </w:rPr>
        <w:t>Pro potřeby hodnocení hodnotícího kritéria A bude každým dodavatelem vyplněna příloha č. 6 této ZD – Podrobný položkový rozpočet. Celková nabídková cena bude dodavatelem uvedena také v Krycím listu nabídky. V případě rozporu mezi přílohou č. 6 a krycím listem, bude zadavatel při vyhodnocení vycházet z cen uvedených ve vyplněné příloze č. 6 nabídky.</w:t>
      </w:r>
    </w:p>
    <w:p w14:paraId="5AC39226" w14:textId="4D2B875D" w:rsidR="00010439" w:rsidRDefault="00010439" w:rsidP="00010439">
      <w:pPr>
        <w:pStyle w:val="Default"/>
        <w:spacing w:before="120" w:after="120"/>
        <w:jc w:val="both"/>
        <w:rPr>
          <w:color w:val="auto"/>
          <w:sz w:val="20"/>
          <w:szCs w:val="22"/>
        </w:rPr>
      </w:pPr>
      <w:r w:rsidRPr="00B66725">
        <w:rPr>
          <w:color w:val="auto"/>
          <w:sz w:val="20"/>
          <w:szCs w:val="22"/>
        </w:rPr>
        <w:t>V případě hodnocení nabídek podle dílčího hodnotícího kritéria „</w:t>
      </w:r>
      <w:r>
        <w:rPr>
          <w:color w:val="auto"/>
          <w:sz w:val="20"/>
          <w:szCs w:val="22"/>
        </w:rPr>
        <w:t xml:space="preserve">Celková </w:t>
      </w:r>
      <w:r w:rsidRPr="00B66725">
        <w:rPr>
          <w:color w:val="auto"/>
          <w:sz w:val="20"/>
          <w:szCs w:val="22"/>
        </w:rPr>
        <w:t xml:space="preserve">cena </w:t>
      </w:r>
      <w:r>
        <w:rPr>
          <w:color w:val="auto"/>
          <w:sz w:val="20"/>
          <w:szCs w:val="22"/>
        </w:rPr>
        <w:t>plnění</w:t>
      </w:r>
      <w:r w:rsidRPr="00B66725">
        <w:rPr>
          <w:color w:val="auto"/>
          <w:sz w:val="20"/>
          <w:szCs w:val="22"/>
        </w:rPr>
        <w:t>“, získá hodnocená nabídka bodovou hodnotu dle vzorce:</w:t>
      </w:r>
    </w:p>
    <w:tbl>
      <w:tblPr>
        <w:tblW w:w="6316" w:type="dxa"/>
        <w:tblInd w:w="1101" w:type="dxa"/>
        <w:tblBorders>
          <w:insideH w:val="single" w:sz="4" w:space="0" w:color="auto"/>
        </w:tblBorders>
        <w:tblLook w:val="04A0" w:firstRow="1" w:lastRow="0" w:firstColumn="1" w:lastColumn="0" w:noHBand="0" w:noVBand="1"/>
      </w:tblPr>
      <w:tblGrid>
        <w:gridCol w:w="670"/>
        <w:gridCol w:w="422"/>
        <w:gridCol w:w="5224"/>
      </w:tblGrid>
      <w:tr w:rsidR="00010439" w:rsidRPr="00B66725" w14:paraId="77B403AC" w14:textId="77777777" w:rsidTr="00DC1186">
        <w:tc>
          <w:tcPr>
            <w:tcW w:w="670" w:type="dxa"/>
            <w:vMerge w:val="restart"/>
            <w:vAlign w:val="center"/>
            <w:hideMark/>
          </w:tcPr>
          <w:p w14:paraId="1BCA9712" w14:textId="77777777" w:rsidR="00010439" w:rsidRPr="00B66725" w:rsidRDefault="00010439" w:rsidP="00DC1186">
            <w:pPr>
              <w:rPr>
                <w:rFonts w:cs="Arial"/>
                <w:szCs w:val="20"/>
              </w:rPr>
            </w:pPr>
            <w:r w:rsidRPr="00B66725">
              <w:rPr>
                <w:rFonts w:cs="Arial"/>
                <w:szCs w:val="20"/>
              </w:rPr>
              <w:t>100</w:t>
            </w:r>
          </w:p>
        </w:tc>
        <w:tc>
          <w:tcPr>
            <w:tcW w:w="422" w:type="dxa"/>
            <w:vMerge w:val="restart"/>
            <w:vAlign w:val="center"/>
            <w:hideMark/>
          </w:tcPr>
          <w:p w14:paraId="46124A28" w14:textId="77777777" w:rsidR="00010439" w:rsidRPr="00B66725" w:rsidRDefault="00010439" w:rsidP="00DC1186">
            <w:pPr>
              <w:rPr>
                <w:rFonts w:cs="Arial"/>
                <w:szCs w:val="20"/>
              </w:rPr>
            </w:pPr>
            <w:r w:rsidRPr="00B66725">
              <w:rPr>
                <w:rFonts w:cs="Arial"/>
                <w:szCs w:val="20"/>
              </w:rPr>
              <w:t>x</w:t>
            </w:r>
          </w:p>
        </w:tc>
        <w:tc>
          <w:tcPr>
            <w:tcW w:w="5224" w:type="dxa"/>
            <w:tcBorders>
              <w:top w:val="nil"/>
              <w:left w:val="nil"/>
              <w:bottom w:val="single" w:sz="4" w:space="0" w:color="auto"/>
              <w:right w:val="nil"/>
            </w:tcBorders>
            <w:vAlign w:val="center"/>
            <w:hideMark/>
          </w:tcPr>
          <w:p w14:paraId="46B3B859" w14:textId="77777777" w:rsidR="00010439" w:rsidRPr="00B66725" w:rsidRDefault="00010439" w:rsidP="00DC1186">
            <w:pPr>
              <w:rPr>
                <w:rFonts w:cs="Arial"/>
                <w:szCs w:val="20"/>
              </w:rPr>
            </w:pPr>
            <w:r w:rsidRPr="00B66725">
              <w:rPr>
                <w:rFonts w:cs="Arial"/>
                <w:szCs w:val="20"/>
              </w:rPr>
              <w:t>nejvýhodnější nabídka, tj. nejnižší nabídková cena v Kč bez DPH (hodnota)</w:t>
            </w:r>
          </w:p>
        </w:tc>
      </w:tr>
      <w:tr w:rsidR="00010439" w:rsidRPr="00B66725" w14:paraId="53F30843" w14:textId="77777777" w:rsidTr="00DC1186">
        <w:tc>
          <w:tcPr>
            <w:tcW w:w="0" w:type="auto"/>
            <w:vMerge/>
            <w:vAlign w:val="center"/>
            <w:hideMark/>
          </w:tcPr>
          <w:p w14:paraId="4FFDD96A" w14:textId="77777777" w:rsidR="00010439" w:rsidRPr="00B66725" w:rsidRDefault="00010439" w:rsidP="00DC1186">
            <w:pPr>
              <w:rPr>
                <w:rFonts w:cs="Arial"/>
                <w:szCs w:val="20"/>
              </w:rPr>
            </w:pPr>
          </w:p>
        </w:tc>
        <w:tc>
          <w:tcPr>
            <w:tcW w:w="0" w:type="auto"/>
            <w:vMerge/>
            <w:vAlign w:val="center"/>
            <w:hideMark/>
          </w:tcPr>
          <w:p w14:paraId="588AA221" w14:textId="77777777" w:rsidR="00010439" w:rsidRPr="00B66725" w:rsidRDefault="00010439" w:rsidP="00DC1186">
            <w:pPr>
              <w:rPr>
                <w:rFonts w:cs="Arial"/>
                <w:szCs w:val="20"/>
              </w:rPr>
            </w:pPr>
          </w:p>
        </w:tc>
        <w:tc>
          <w:tcPr>
            <w:tcW w:w="5224" w:type="dxa"/>
            <w:tcBorders>
              <w:top w:val="single" w:sz="4" w:space="0" w:color="auto"/>
              <w:left w:val="nil"/>
              <w:bottom w:val="nil"/>
              <w:right w:val="nil"/>
            </w:tcBorders>
            <w:vAlign w:val="center"/>
            <w:hideMark/>
          </w:tcPr>
          <w:p w14:paraId="597AB809" w14:textId="77777777" w:rsidR="00010439" w:rsidRPr="00B66725" w:rsidRDefault="00010439" w:rsidP="00DC1186">
            <w:pPr>
              <w:rPr>
                <w:rFonts w:cs="Arial"/>
                <w:szCs w:val="20"/>
              </w:rPr>
            </w:pPr>
            <w:r w:rsidRPr="00B66725">
              <w:rPr>
                <w:rFonts w:cs="Arial"/>
                <w:szCs w:val="20"/>
              </w:rPr>
              <w:t>nabídková cena v Kč bez DPH (hodnota) hodnocené nabídky</w:t>
            </w:r>
          </w:p>
        </w:tc>
      </w:tr>
    </w:tbl>
    <w:p w14:paraId="6E484A94" w14:textId="63650F13" w:rsidR="00010439" w:rsidRDefault="00010439" w:rsidP="00D21E61">
      <w:r w:rsidRPr="00224B97">
        <w:t>kde hodnocenou cenou je nabídková cena hodnocené nabídky v Kč bez DPH.</w:t>
      </w:r>
      <w:r>
        <w:t xml:space="preserve"> Přepočet bude proveden s přesností na dvě desetinná místa.</w:t>
      </w:r>
    </w:p>
    <w:p w14:paraId="370044D6" w14:textId="2424970F" w:rsidR="00010439" w:rsidRDefault="00010439" w:rsidP="00D21E61"/>
    <w:p w14:paraId="5787BBC3" w14:textId="67A5FF21" w:rsidR="00010439" w:rsidRDefault="00010439" w:rsidP="00010439">
      <w:pPr>
        <w:pStyle w:val="Default"/>
        <w:spacing w:before="120" w:after="120"/>
        <w:jc w:val="both"/>
        <w:rPr>
          <w:color w:val="auto"/>
          <w:sz w:val="20"/>
          <w:szCs w:val="22"/>
        </w:rPr>
      </w:pPr>
      <w:r>
        <w:rPr>
          <w:b/>
          <w:color w:val="auto"/>
          <w:sz w:val="20"/>
          <w:szCs w:val="22"/>
        </w:rPr>
        <w:lastRenderedPageBreak/>
        <w:t>H</w:t>
      </w:r>
      <w:r w:rsidRPr="00283AC3">
        <w:rPr>
          <w:b/>
          <w:color w:val="auto"/>
          <w:sz w:val="20"/>
          <w:szCs w:val="22"/>
        </w:rPr>
        <w:t xml:space="preserve">odnotící kritérium </w:t>
      </w:r>
      <w:r w:rsidR="00666D79">
        <w:rPr>
          <w:b/>
          <w:color w:val="auto"/>
          <w:sz w:val="20"/>
          <w:szCs w:val="22"/>
        </w:rPr>
        <w:t>B</w:t>
      </w:r>
      <w:r>
        <w:rPr>
          <w:b/>
          <w:color w:val="auto"/>
          <w:sz w:val="20"/>
          <w:szCs w:val="22"/>
        </w:rPr>
        <w:t xml:space="preserve"> – </w:t>
      </w:r>
      <w:r w:rsidR="00666D79">
        <w:rPr>
          <w:b/>
          <w:sz w:val="20"/>
          <w:szCs w:val="20"/>
        </w:rPr>
        <w:t xml:space="preserve">Počet </w:t>
      </w:r>
      <w:r w:rsidR="003A55E3">
        <w:rPr>
          <w:b/>
          <w:sz w:val="20"/>
          <w:szCs w:val="20"/>
        </w:rPr>
        <w:t>referenčních zakázek</w:t>
      </w:r>
    </w:p>
    <w:p w14:paraId="6724B1EA" w14:textId="19A97A94" w:rsidR="00666D79" w:rsidRDefault="00010439" w:rsidP="00010439">
      <w:pPr>
        <w:pStyle w:val="Default"/>
        <w:spacing w:before="120" w:after="120"/>
        <w:jc w:val="both"/>
        <w:rPr>
          <w:color w:val="auto"/>
          <w:sz w:val="20"/>
          <w:szCs w:val="22"/>
        </w:rPr>
      </w:pPr>
      <w:r w:rsidRPr="00573AC4">
        <w:rPr>
          <w:color w:val="auto"/>
          <w:sz w:val="20"/>
          <w:szCs w:val="22"/>
        </w:rPr>
        <w:t xml:space="preserve">Zadavatel bude </w:t>
      </w:r>
      <w:r>
        <w:rPr>
          <w:color w:val="auto"/>
          <w:sz w:val="20"/>
          <w:szCs w:val="22"/>
        </w:rPr>
        <w:t xml:space="preserve">v rámci hodnotícího subkritéria </w:t>
      </w:r>
      <w:r w:rsidRPr="00573AC4">
        <w:rPr>
          <w:color w:val="auto"/>
          <w:sz w:val="20"/>
          <w:szCs w:val="22"/>
        </w:rPr>
        <w:t xml:space="preserve">hodnotit </w:t>
      </w:r>
      <w:r w:rsidR="00666D79">
        <w:rPr>
          <w:color w:val="auto"/>
          <w:sz w:val="20"/>
          <w:szCs w:val="22"/>
        </w:rPr>
        <w:t>počet</w:t>
      </w:r>
      <w:r w:rsidR="007A1F58">
        <w:rPr>
          <w:color w:val="auto"/>
          <w:sz w:val="20"/>
          <w:szCs w:val="22"/>
        </w:rPr>
        <w:t xml:space="preserve"> referenčních zakázek realizovaných účastníkem uvedených účastníkem v Seznamu referenčních zakázek. </w:t>
      </w:r>
      <w:r w:rsidR="007A1F58" w:rsidRPr="00BD7EAB">
        <w:rPr>
          <w:color w:val="auto"/>
          <w:sz w:val="20"/>
          <w:szCs w:val="22"/>
          <w:u w:val="single"/>
        </w:rPr>
        <w:t>Prostřednictvím referenčních zakázek uvedených v tomto seznamu nesmí být účastníkem prokazována technická kvalifikace.</w:t>
      </w:r>
      <w:r w:rsidR="00172CE8">
        <w:rPr>
          <w:color w:val="auto"/>
          <w:sz w:val="20"/>
          <w:szCs w:val="22"/>
        </w:rPr>
        <w:t xml:space="preserve"> Dodavatel je oprávněn uvést v předloženém seznamu max. </w:t>
      </w:r>
      <w:r w:rsidR="006D5B56">
        <w:rPr>
          <w:color w:val="auto"/>
          <w:sz w:val="20"/>
          <w:szCs w:val="22"/>
        </w:rPr>
        <w:t>5</w:t>
      </w:r>
      <w:r w:rsidR="00172CE8">
        <w:rPr>
          <w:color w:val="auto"/>
          <w:sz w:val="20"/>
          <w:szCs w:val="22"/>
        </w:rPr>
        <w:t>0 referenčních zakázek</w:t>
      </w:r>
      <w:r w:rsidR="00666D79">
        <w:rPr>
          <w:color w:val="auto"/>
          <w:sz w:val="20"/>
          <w:szCs w:val="22"/>
        </w:rPr>
        <w:t>, které musí splňovat následující požadavky:</w:t>
      </w:r>
    </w:p>
    <w:p w14:paraId="3E9E7A06" w14:textId="72BA3B9E" w:rsidR="00666D79" w:rsidRDefault="00666D79" w:rsidP="00666D79">
      <w:pPr>
        <w:pStyle w:val="Default"/>
        <w:numPr>
          <w:ilvl w:val="0"/>
          <w:numId w:val="11"/>
        </w:numPr>
        <w:spacing w:before="120" w:after="120"/>
        <w:jc w:val="both"/>
        <w:rPr>
          <w:color w:val="auto"/>
          <w:sz w:val="20"/>
          <w:szCs w:val="22"/>
        </w:rPr>
      </w:pPr>
      <w:r>
        <w:rPr>
          <w:color w:val="auto"/>
          <w:sz w:val="20"/>
          <w:szCs w:val="22"/>
        </w:rPr>
        <w:t xml:space="preserve">Dodávka webové prezentace </w:t>
      </w:r>
      <w:r w:rsidR="00BD7EAB">
        <w:rPr>
          <w:color w:val="auto"/>
          <w:sz w:val="20"/>
          <w:szCs w:val="22"/>
        </w:rPr>
        <w:t xml:space="preserve">pro </w:t>
      </w:r>
      <w:r>
        <w:rPr>
          <w:color w:val="auto"/>
          <w:sz w:val="20"/>
          <w:szCs w:val="22"/>
        </w:rPr>
        <w:t>orgán veřejné správy</w:t>
      </w:r>
      <w:r w:rsidR="00BD7EAB">
        <w:rPr>
          <w:color w:val="auto"/>
          <w:sz w:val="20"/>
          <w:szCs w:val="22"/>
        </w:rPr>
        <w:t>, tj.</w:t>
      </w:r>
      <w:r>
        <w:rPr>
          <w:color w:val="auto"/>
          <w:sz w:val="20"/>
          <w:szCs w:val="22"/>
        </w:rPr>
        <w:t xml:space="preserve"> pro obce s min. </w:t>
      </w:r>
      <w:r w:rsidR="00BD7EAB">
        <w:rPr>
          <w:color w:val="auto"/>
          <w:sz w:val="20"/>
          <w:szCs w:val="22"/>
        </w:rPr>
        <w:t>20 </w:t>
      </w:r>
      <w:r>
        <w:rPr>
          <w:color w:val="auto"/>
          <w:sz w:val="20"/>
          <w:szCs w:val="22"/>
        </w:rPr>
        <w:t>000 obyvateli / ÚSC / ÚSO</w:t>
      </w:r>
      <w:r w:rsidR="00BD7EAB">
        <w:rPr>
          <w:color w:val="auto"/>
          <w:sz w:val="20"/>
          <w:szCs w:val="22"/>
        </w:rPr>
        <w:t>, jimi zřizované organizace (příspěvkové organizace) nebo společnosti s většinovou majetkovou účastí orgánů veřejné správy</w:t>
      </w:r>
      <w:r>
        <w:rPr>
          <w:color w:val="auto"/>
          <w:sz w:val="20"/>
          <w:szCs w:val="22"/>
        </w:rPr>
        <w:t>.</w:t>
      </w:r>
    </w:p>
    <w:p w14:paraId="0399FD6E" w14:textId="51E2D61B" w:rsidR="00666D79" w:rsidRDefault="00666D79" w:rsidP="00666D79">
      <w:pPr>
        <w:pStyle w:val="Default"/>
        <w:numPr>
          <w:ilvl w:val="0"/>
          <w:numId w:val="11"/>
        </w:numPr>
        <w:spacing w:before="120" w:after="120"/>
        <w:jc w:val="both"/>
        <w:rPr>
          <w:color w:val="auto"/>
          <w:sz w:val="20"/>
          <w:szCs w:val="22"/>
        </w:rPr>
      </w:pPr>
      <w:r w:rsidRPr="00666D79">
        <w:rPr>
          <w:color w:val="auto"/>
          <w:sz w:val="20"/>
          <w:szCs w:val="22"/>
        </w:rPr>
        <w:t xml:space="preserve">Grafický návrh stránek </w:t>
      </w:r>
      <w:r>
        <w:rPr>
          <w:color w:val="auto"/>
          <w:sz w:val="20"/>
          <w:szCs w:val="22"/>
        </w:rPr>
        <w:t xml:space="preserve">nevychází </w:t>
      </w:r>
      <w:r w:rsidRPr="00666D79">
        <w:rPr>
          <w:color w:val="auto"/>
          <w:sz w:val="20"/>
          <w:szCs w:val="22"/>
        </w:rPr>
        <w:t xml:space="preserve">z opakovaně používané šablony – </w:t>
      </w:r>
      <w:r>
        <w:rPr>
          <w:color w:val="auto"/>
          <w:sz w:val="20"/>
          <w:szCs w:val="22"/>
        </w:rPr>
        <w:t>jedná se o</w:t>
      </w:r>
      <w:r w:rsidRPr="00666D79">
        <w:rPr>
          <w:color w:val="auto"/>
          <w:sz w:val="20"/>
          <w:szCs w:val="22"/>
        </w:rPr>
        <w:t xml:space="preserve"> stránky se zcela individuální grafikou a strukturou dat vytvořenou </w:t>
      </w:r>
      <w:r>
        <w:rPr>
          <w:color w:val="auto"/>
          <w:sz w:val="20"/>
          <w:szCs w:val="22"/>
        </w:rPr>
        <w:t xml:space="preserve">na </w:t>
      </w:r>
      <w:r w:rsidRPr="00666D79">
        <w:rPr>
          <w:color w:val="auto"/>
          <w:sz w:val="20"/>
          <w:szCs w:val="22"/>
        </w:rPr>
        <w:t xml:space="preserve">míru dle potřeb </w:t>
      </w:r>
      <w:r>
        <w:rPr>
          <w:color w:val="auto"/>
          <w:sz w:val="20"/>
          <w:szCs w:val="22"/>
        </w:rPr>
        <w:t>zákazníka</w:t>
      </w:r>
      <w:r w:rsidRPr="00666D79">
        <w:rPr>
          <w:color w:val="auto"/>
          <w:sz w:val="20"/>
          <w:szCs w:val="22"/>
        </w:rPr>
        <w:t>.</w:t>
      </w:r>
    </w:p>
    <w:p w14:paraId="4B8F02F3" w14:textId="20D0B7AC" w:rsidR="00666D79" w:rsidRPr="00666D79" w:rsidRDefault="00666D79" w:rsidP="00666D79">
      <w:pPr>
        <w:pStyle w:val="Default"/>
        <w:numPr>
          <w:ilvl w:val="0"/>
          <w:numId w:val="11"/>
        </w:numPr>
        <w:spacing w:before="120" w:after="120"/>
        <w:jc w:val="both"/>
        <w:rPr>
          <w:color w:val="auto"/>
          <w:sz w:val="20"/>
          <w:szCs w:val="22"/>
        </w:rPr>
      </w:pPr>
      <w:r w:rsidRPr="00666D79">
        <w:rPr>
          <w:color w:val="auto"/>
          <w:sz w:val="20"/>
          <w:szCs w:val="22"/>
        </w:rPr>
        <w:t xml:space="preserve">Webové stránky zahrnují běžné funkcionality / moduly, tj. min. budou obsahovat úřední desku, elektronickou podatelnu, fotogalerii a </w:t>
      </w:r>
      <w:r>
        <w:rPr>
          <w:color w:val="auto"/>
          <w:sz w:val="20"/>
          <w:szCs w:val="22"/>
        </w:rPr>
        <w:t>telefonní seznam.</w:t>
      </w:r>
    </w:p>
    <w:p w14:paraId="2B65380D" w14:textId="6B725D7E" w:rsidR="00172CE8" w:rsidRDefault="00172CE8" w:rsidP="00666D79">
      <w:pPr>
        <w:pStyle w:val="Default"/>
        <w:spacing w:before="120" w:after="120"/>
        <w:jc w:val="both"/>
        <w:rPr>
          <w:color w:val="auto"/>
          <w:sz w:val="20"/>
          <w:szCs w:val="22"/>
        </w:rPr>
      </w:pPr>
      <w:r>
        <w:rPr>
          <w:color w:val="auto"/>
          <w:sz w:val="20"/>
          <w:szCs w:val="22"/>
        </w:rPr>
        <w:t xml:space="preserve">Dodavatel v seznamu </w:t>
      </w:r>
      <w:r w:rsidR="00666D79">
        <w:rPr>
          <w:color w:val="auto"/>
          <w:sz w:val="20"/>
          <w:szCs w:val="22"/>
        </w:rPr>
        <w:t xml:space="preserve">referenčních zakázek </w:t>
      </w:r>
      <w:r>
        <w:rPr>
          <w:color w:val="auto"/>
          <w:sz w:val="20"/>
          <w:szCs w:val="22"/>
        </w:rPr>
        <w:t>uvede nejméně následující informace:</w:t>
      </w:r>
      <w:r w:rsidR="00666D79">
        <w:rPr>
          <w:color w:val="auto"/>
          <w:sz w:val="20"/>
          <w:szCs w:val="22"/>
        </w:rPr>
        <w:t xml:space="preserve"> </w:t>
      </w:r>
      <w:r>
        <w:rPr>
          <w:color w:val="auto"/>
          <w:sz w:val="20"/>
          <w:szCs w:val="22"/>
        </w:rPr>
        <w:t>Identifikace objednatele</w:t>
      </w:r>
      <w:r w:rsidR="00666D79">
        <w:rPr>
          <w:color w:val="auto"/>
          <w:sz w:val="20"/>
          <w:szCs w:val="22"/>
        </w:rPr>
        <w:t xml:space="preserve">, </w:t>
      </w:r>
      <w:r>
        <w:rPr>
          <w:color w:val="auto"/>
          <w:sz w:val="20"/>
          <w:szCs w:val="22"/>
        </w:rPr>
        <w:t>Termín dokončení dodávky</w:t>
      </w:r>
      <w:r w:rsidR="00666D79">
        <w:rPr>
          <w:color w:val="auto"/>
          <w:sz w:val="20"/>
          <w:szCs w:val="22"/>
        </w:rPr>
        <w:t xml:space="preserve">, </w:t>
      </w:r>
      <w:r>
        <w:rPr>
          <w:color w:val="auto"/>
          <w:sz w:val="20"/>
          <w:szCs w:val="22"/>
        </w:rPr>
        <w:t>Odkaz na webovou prezentaci</w:t>
      </w:r>
      <w:r w:rsidR="00666D79">
        <w:rPr>
          <w:color w:val="auto"/>
          <w:sz w:val="20"/>
          <w:szCs w:val="22"/>
        </w:rPr>
        <w:t>.</w:t>
      </w:r>
    </w:p>
    <w:p w14:paraId="1D798FA1" w14:textId="2AB8EEE4" w:rsidR="00666D79" w:rsidRDefault="00666D79" w:rsidP="00666D79">
      <w:pPr>
        <w:pStyle w:val="Default"/>
        <w:spacing w:before="120" w:after="120"/>
        <w:jc w:val="both"/>
        <w:rPr>
          <w:color w:val="auto"/>
          <w:sz w:val="20"/>
          <w:szCs w:val="22"/>
        </w:rPr>
      </w:pPr>
      <w:r>
        <w:rPr>
          <w:color w:val="auto"/>
          <w:sz w:val="20"/>
          <w:szCs w:val="22"/>
        </w:rPr>
        <w:t>Seznam bude předložen ve formě čestného prohlášení potvrzujícího splnění výše uvedených požadavků zadavatele.</w:t>
      </w:r>
    </w:p>
    <w:p w14:paraId="13B17367" w14:textId="4946B963" w:rsidR="00666D79" w:rsidRDefault="00666D79" w:rsidP="00666D79">
      <w:pPr>
        <w:pStyle w:val="Default"/>
        <w:spacing w:before="120" w:after="120"/>
        <w:jc w:val="both"/>
        <w:rPr>
          <w:color w:val="auto"/>
          <w:sz w:val="20"/>
          <w:szCs w:val="22"/>
        </w:rPr>
      </w:pPr>
      <w:r>
        <w:rPr>
          <w:color w:val="auto"/>
          <w:sz w:val="20"/>
          <w:szCs w:val="22"/>
        </w:rPr>
        <w:t xml:space="preserve">Za každou referenční zakázku odpovídající výše uvedeným požadavkům účastník obdrží </w:t>
      </w:r>
      <w:r w:rsidR="006D5B56">
        <w:rPr>
          <w:color w:val="auto"/>
          <w:sz w:val="20"/>
          <w:szCs w:val="22"/>
        </w:rPr>
        <w:t>2</w:t>
      </w:r>
      <w:r>
        <w:rPr>
          <w:color w:val="auto"/>
          <w:sz w:val="20"/>
          <w:szCs w:val="22"/>
        </w:rPr>
        <w:t xml:space="preserve"> bod</w:t>
      </w:r>
      <w:r w:rsidR="006D5B56">
        <w:rPr>
          <w:color w:val="auto"/>
          <w:sz w:val="20"/>
          <w:szCs w:val="22"/>
        </w:rPr>
        <w:t>y</w:t>
      </w:r>
      <w:r>
        <w:rPr>
          <w:color w:val="auto"/>
          <w:sz w:val="20"/>
          <w:szCs w:val="22"/>
        </w:rPr>
        <w:t xml:space="preserve"> (max.</w:t>
      </w:r>
      <w:r w:rsidR="00E27A85">
        <w:rPr>
          <w:color w:val="auto"/>
          <w:sz w:val="20"/>
          <w:szCs w:val="22"/>
        </w:rPr>
        <w:t> </w:t>
      </w:r>
      <w:r>
        <w:rPr>
          <w:color w:val="auto"/>
          <w:sz w:val="20"/>
          <w:szCs w:val="22"/>
        </w:rPr>
        <w:t>100 bodů).</w:t>
      </w:r>
    </w:p>
    <w:p w14:paraId="23867D04" w14:textId="77777777" w:rsidR="00172CE8" w:rsidRDefault="00172CE8" w:rsidP="00010439">
      <w:pPr>
        <w:pStyle w:val="Default"/>
        <w:spacing w:before="120" w:after="120"/>
        <w:jc w:val="both"/>
        <w:rPr>
          <w:color w:val="auto"/>
          <w:sz w:val="20"/>
          <w:szCs w:val="22"/>
        </w:rPr>
      </w:pPr>
    </w:p>
    <w:p w14:paraId="5B6EDA03" w14:textId="6F5A289B" w:rsidR="00010439" w:rsidRPr="00837AB5" w:rsidRDefault="00010439" w:rsidP="00010439">
      <w:pPr>
        <w:pStyle w:val="Default"/>
        <w:spacing w:before="120" w:after="120"/>
        <w:jc w:val="both"/>
        <w:rPr>
          <w:b/>
        </w:rPr>
      </w:pPr>
      <w:r w:rsidRPr="00224B97">
        <w:rPr>
          <w:color w:val="auto"/>
          <w:sz w:val="20"/>
          <w:szCs w:val="22"/>
          <w:u w:val="single"/>
        </w:rPr>
        <w:t>Celkové hodnocení nabídek provede hodnotící komise tak, že bodová hodnocení nabídek dle dílčích kritérií vynásobí vždy váhou příslušného kritéria (</w:t>
      </w:r>
      <w:r>
        <w:rPr>
          <w:color w:val="auto"/>
          <w:sz w:val="20"/>
          <w:szCs w:val="22"/>
          <w:u w:val="single"/>
        </w:rPr>
        <w:t>Celková n</w:t>
      </w:r>
      <w:r w:rsidRPr="00224B97">
        <w:rPr>
          <w:color w:val="auto"/>
          <w:sz w:val="20"/>
          <w:szCs w:val="22"/>
          <w:u w:val="single"/>
        </w:rPr>
        <w:t xml:space="preserve">abídková cena vahou </w:t>
      </w:r>
      <w:r>
        <w:rPr>
          <w:color w:val="auto"/>
          <w:sz w:val="20"/>
          <w:szCs w:val="22"/>
          <w:u w:val="single"/>
        </w:rPr>
        <w:t>6</w:t>
      </w:r>
      <w:r w:rsidRPr="00224B97">
        <w:rPr>
          <w:color w:val="auto"/>
          <w:sz w:val="20"/>
          <w:szCs w:val="22"/>
          <w:u w:val="single"/>
        </w:rPr>
        <w:t>0 %</w:t>
      </w:r>
      <w:r>
        <w:rPr>
          <w:color w:val="auto"/>
          <w:sz w:val="20"/>
          <w:szCs w:val="22"/>
          <w:u w:val="single"/>
        </w:rPr>
        <w:t>,</w:t>
      </w:r>
      <w:r w:rsidRPr="00224B97">
        <w:rPr>
          <w:color w:val="auto"/>
          <w:sz w:val="20"/>
          <w:szCs w:val="22"/>
          <w:u w:val="single"/>
        </w:rPr>
        <w:t xml:space="preserve"> </w:t>
      </w:r>
      <w:r>
        <w:rPr>
          <w:color w:val="auto"/>
          <w:sz w:val="20"/>
          <w:szCs w:val="22"/>
          <w:u w:val="single"/>
        </w:rPr>
        <w:t>nepovinné požadavky na dodávku vahou 4</w:t>
      </w:r>
      <w:r w:rsidRPr="00224B97">
        <w:rPr>
          <w:color w:val="auto"/>
          <w:sz w:val="20"/>
          <w:szCs w:val="22"/>
          <w:u w:val="single"/>
        </w:rPr>
        <w:t xml:space="preserve">0 %). Takto získané hodnoty hodnotící komise sečte pro každou nabídku a stanoví pořadí úspěšnosti </w:t>
      </w:r>
      <w:r>
        <w:rPr>
          <w:color w:val="auto"/>
          <w:sz w:val="20"/>
          <w:szCs w:val="22"/>
          <w:u w:val="single"/>
        </w:rPr>
        <w:t>dodavatelů</w:t>
      </w:r>
      <w:r w:rsidRPr="00224B97">
        <w:rPr>
          <w:color w:val="auto"/>
          <w:sz w:val="20"/>
          <w:szCs w:val="22"/>
          <w:u w:val="single"/>
        </w:rPr>
        <w:t>, přičemž jako nejlepší bude vyhodnocena nabídka, která dosáhla nejvyšší bodové hodnoty.</w:t>
      </w:r>
    </w:p>
    <w:p w14:paraId="3B3717A3" w14:textId="77777777" w:rsidR="00EC5AF4" w:rsidRDefault="00EC5AF4" w:rsidP="00B1502B"/>
    <w:p w14:paraId="683B0B5E" w14:textId="1ACFB975" w:rsidR="00837AB5" w:rsidRPr="00837AB5" w:rsidRDefault="00837AB5" w:rsidP="00B1502B">
      <w:pPr>
        <w:pStyle w:val="Nadpis1"/>
      </w:pPr>
      <w:r w:rsidRPr="00837AB5">
        <w:t>PŘÍLOHY ZADÁVACÍ DOKUMENTACE</w:t>
      </w:r>
    </w:p>
    <w:p w14:paraId="0AFA494D" w14:textId="5E40E89E" w:rsidR="00837AB5" w:rsidRDefault="00837AB5" w:rsidP="00B1502B">
      <w:r>
        <w:t xml:space="preserve">Přílohy zadávací dokumentace tvoří následující dokumenty: </w:t>
      </w:r>
    </w:p>
    <w:p w14:paraId="3EDAB509" w14:textId="49AB59EB" w:rsidR="00837AB5" w:rsidRDefault="00837AB5" w:rsidP="00B1502B">
      <w:r>
        <w:t xml:space="preserve">Příloha č. 1: Technická specifikace předmětu zakázky (Technický list) </w:t>
      </w:r>
    </w:p>
    <w:p w14:paraId="675FFE99" w14:textId="5E6B8A7C" w:rsidR="00837AB5" w:rsidRDefault="00837AB5" w:rsidP="00B1502B">
      <w:r>
        <w:t xml:space="preserve">Příloha č. 2: Krycí list </w:t>
      </w:r>
    </w:p>
    <w:p w14:paraId="68B715BC" w14:textId="1F476EBB" w:rsidR="00837AB5" w:rsidRDefault="00837AB5" w:rsidP="00B1502B">
      <w:r>
        <w:t xml:space="preserve">Příloha č. 3: Vzorový formulář k prokázání splnění základní způsobilosti </w:t>
      </w:r>
    </w:p>
    <w:p w14:paraId="52C9CB8D" w14:textId="64CB1CBC" w:rsidR="00837AB5" w:rsidRDefault="00837AB5" w:rsidP="00B1502B">
      <w:r>
        <w:t xml:space="preserve">Příloha č. 4: Vzorový formulář k prokázání splnění technické kvalifikace </w:t>
      </w:r>
    </w:p>
    <w:p w14:paraId="2292BC89" w14:textId="0B1C193A" w:rsidR="00837AB5" w:rsidRDefault="00837AB5" w:rsidP="00B1502B">
      <w:r>
        <w:t xml:space="preserve">Příloha č. 5: Závazný návrh Smlouvy o dílo a o podpoře provozu </w:t>
      </w:r>
    </w:p>
    <w:p w14:paraId="7257A537" w14:textId="3D63601C" w:rsidR="00837AB5" w:rsidRDefault="00837AB5" w:rsidP="00B1502B">
      <w:r>
        <w:t xml:space="preserve">Příloha č. 6: Podrobný nabídkový rozpočet </w:t>
      </w:r>
    </w:p>
    <w:p w14:paraId="276A19D4" w14:textId="27D06D91" w:rsidR="00837AB5" w:rsidRDefault="00837AB5" w:rsidP="00B1502B">
      <w:r>
        <w:t xml:space="preserve">Příloha č. 7: Seznam poddodavatelů </w:t>
      </w:r>
    </w:p>
    <w:p w14:paraId="2C6DB4C1" w14:textId="0238D19C" w:rsidR="00837AB5" w:rsidRDefault="00837AB5" w:rsidP="00B1502B"/>
    <w:p w14:paraId="0D323CDD" w14:textId="77777777" w:rsidR="00837AB5" w:rsidRDefault="00837AB5" w:rsidP="00996488">
      <w:pPr>
        <w:ind w:left="426"/>
        <w:rPr>
          <w:rFonts w:cs="Arial"/>
          <w:iCs/>
          <w:color w:val="000000"/>
          <w:szCs w:val="20"/>
        </w:rPr>
      </w:pPr>
    </w:p>
    <w:p w14:paraId="7CD4878E" w14:textId="77777777" w:rsidR="00837AB5" w:rsidRDefault="00837AB5" w:rsidP="00996488">
      <w:pPr>
        <w:ind w:left="426"/>
        <w:rPr>
          <w:rFonts w:cs="Arial"/>
          <w:iCs/>
          <w:color w:val="000000"/>
          <w:szCs w:val="20"/>
        </w:rPr>
      </w:pPr>
    </w:p>
    <w:p w14:paraId="2FB8C912" w14:textId="1D51A6E2" w:rsidR="00837AB5" w:rsidRDefault="00EE4F1C" w:rsidP="0072236E">
      <w:pPr>
        <w:ind w:left="426"/>
        <w:rPr>
          <w:rFonts w:cs="Arial"/>
          <w:iCs/>
          <w:color w:val="000000"/>
          <w:szCs w:val="20"/>
        </w:rPr>
      </w:pPr>
      <w:r>
        <w:rPr>
          <w:rFonts w:cs="Arial"/>
          <w:iCs/>
          <w:color w:val="000000"/>
          <w:szCs w:val="20"/>
        </w:rPr>
        <w:tab/>
      </w:r>
      <w:r>
        <w:rPr>
          <w:rFonts w:cs="Arial"/>
          <w:iCs/>
          <w:color w:val="000000"/>
          <w:szCs w:val="20"/>
        </w:rPr>
        <w:tab/>
      </w:r>
      <w:r>
        <w:rPr>
          <w:rFonts w:cs="Arial"/>
          <w:iCs/>
          <w:color w:val="000000"/>
          <w:szCs w:val="20"/>
        </w:rPr>
        <w:tab/>
      </w:r>
      <w:r>
        <w:rPr>
          <w:rFonts w:cs="Arial"/>
          <w:iCs/>
          <w:color w:val="000000"/>
          <w:szCs w:val="20"/>
        </w:rPr>
        <w:tab/>
      </w:r>
      <w:r>
        <w:rPr>
          <w:rFonts w:cs="Arial"/>
          <w:iCs/>
          <w:color w:val="000000"/>
          <w:szCs w:val="20"/>
        </w:rPr>
        <w:tab/>
      </w:r>
      <w:r>
        <w:rPr>
          <w:rFonts w:cs="Arial"/>
          <w:iCs/>
          <w:color w:val="000000"/>
          <w:szCs w:val="20"/>
        </w:rPr>
        <w:tab/>
      </w:r>
      <w:r>
        <w:rPr>
          <w:rFonts w:cs="Arial"/>
          <w:iCs/>
          <w:color w:val="000000"/>
          <w:szCs w:val="20"/>
        </w:rPr>
        <w:tab/>
      </w:r>
      <w:r>
        <w:rPr>
          <w:rFonts w:cs="Arial"/>
          <w:iCs/>
          <w:color w:val="000000"/>
          <w:szCs w:val="20"/>
        </w:rPr>
        <w:tab/>
      </w:r>
      <w:bookmarkStart w:id="8" w:name="_GoBack"/>
      <w:bookmarkEnd w:id="8"/>
    </w:p>
    <w:p w14:paraId="18605ACB" w14:textId="77777777" w:rsidR="00837AB5" w:rsidRDefault="00837AB5" w:rsidP="00996488">
      <w:pPr>
        <w:ind w:left="426"/>
        <w:rPr>
          <w:rFonts w:cs="Arial"/>
          <w:iCs/>
          <w:color w:val="000000"/>
          <w:szCs w:val="20"/>
        </w:rPr>
      </w:pPr>
    </w:p>
    <w:p w14:paraId="3A961FA8" w14:textId="77777777" w:rsidR="00FC3418" w:rsidRPr="00FC3418" w:rsidRDefault="00FC3418" w:rsidP="00FC3418">
      <w:pPr>
        <w:rPr>
          <w:b/>
        </w:rPr>
      </w:pPr>
    </w:p>
    <w:sectPr w:rsidR="00FC3418" w:rsidRPr="00FC3418" w:rsidSect="003807FE">
      <w:headerReference w:type="even" r:id="rId14"/>
      <w:headerReference w:type="default" r:id="rId15"/>
      <w:footerReference w:type="even" r:id="rId16"/>
      <w:footerReference w:type="default" r:id="rId17"/>
      <w:headerReference w:type="first" r:id="rId18"/>
      <w:footerReference w:type="first" r:id="rId19"/>
      <w:pgSz w:w="11906" w:h="16838"/>
      <w:pgMar w:top="226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46D2C" w14:textId="77777777" w:rsidR="00F8753C" w:rsidRDefault="00F8753C" w:rsidP="00A421BE">
      <w:pPr>
        <w:spacing w:before="0" w:after="0"/>
      </w:pPr>
      <w:r>
        <w:separator/>
      </w:r>
    </w:p>
  </w:endnote>
  <w:endnote w:type="continuationSeparator" w:id="0">
    <w:p w14:paraId="79DF4E54" w14:textId="77777777" w:rsidR="00F8753C" w:rsidRDefault="00F8753C" w:rsidP="00A421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02BCE" w14:textId="77777777" w:rsidR="00556FE8" w:rsidRDefault="00556F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C2E71" w14:textId="3226F808" w:rsidR="00BA5D4D" w:rsidRPr="00EE1071" w:rsidRDefault="00BA5D4D" w:rsidP="00BA5D4D">
    <w:pPr>
      <w:pStyle w:val="Zpat"/>
      <w:jc w:val="center"/>
      <w:rPr>
        <w:i/>
        <w:iCs/>
      </w:rPr>
    </w:pPr>
    <w:r w:rsidRPr="00EE1071">
      <w:rPr>
        <w:i/>
        <w:iCs/>
      </w:rPr>
      <w:t xml:space="preserve">- </w:t>
    </w:r>
    <w:r w:rsidRPr="00EE1071">
      <w:rPr>
        <w:i/>
        <w:iCs/>
      </w:rPr>
      <w:fldChar w:fldCharType="begin"/>
    </w:r>
    <w:r w:rsidRPr="00EE1071">
      <w:rPr>
        <w:i/>
        <w:iCs/>
      </w:rPr>
      <w:instrText xml:space="preserve"> PAGE   \* MERGEFORMAT </w:instrText>
    </w:r>
    <w:r w:rsidRPr="00EE1071">
      <w:rPr>
        <w:i/>
        <w:iCs/>
      </w:rPr>
      <w:fldChar w:fldCharType="separate"/>
    </w:r>
    <w:r w:rsidR="0072236E">
      <w:rPr>
        <w:i/>
        <w:iCs/>
        <w:noProof/>
      </w:rPr>
      <w:t>12</w:t>
    </w:r>
    <w:r w:rsidRPr="00EE1071">
      <w:rPr>
        <w:i/>
        <w:iCs/>
      </w:rPr>
      <w:fldChar w:fldCharType="end"/>
    </w:r>
    <w:r w:rsidRPr="00EE1071">
      <w:rPr>
        <w:i/>
        <w:iCs/>
      </w:rPr>
      <w:t xml:space="preserve"> / </w:t>
    </w:r>
    <w:r w:rsidR="00420AFE" w:rsidRPr="00EE1071">
      <w:rPr>
        <w:i/>
        <w:iCs/>
      </w:rPr>
      <w:fldChar w:fldCharType="begin"/>
    </w:r>
    <w:r w:rsidR="00420AFE" w:rsidRPr="00EE1071">
      <w:rPr>
        <w:i/>
        <w:iCs/>
      </w:rPr>
      <w:instrText xml:space="preserve"> NUMPAGES   \* MERGEFORMAT </w:instrText>
    </w:r>
    <w:r w:rsidR="00420AFE" w:rsidRPr="00EE1071">
      <w:rPr>
        <w:i/>
        <w:iCs/>
      </w:rPr>
      <w:fldChar w:fldCharType="separate"/>
    </w:r>
    <w:r w:rsidR="0072236E">
      <w:rPr>
        <w:i/>
        <w:iCs/>
        <w:noProof/>
      </w:rPr>
      <w:t>12</w:t>
    </w:r>
    <w:r w:rsidR="00420AFE" w:rsidRPr="00EE1071">
      <w:rPr>
        <w:i/>
        <w:iCs/>
        <w:noProof/>
      </w:rPr>
      <w:fldChar w:fldCharType="end"/>
    </w:r>
    <w:r w:rsidRPr="00EE1071">
      <w:rPr>
        <w:i/>
        <w:i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F35F7" w14:textId="77777777" w:rsidR="00556FE8" w:rsidRDefault="00556F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92CE0" w14:textId="77777777" w:rsidR="00F8753C" w:rsidRDefault="00F8753C" w:rsidP="00A421BE">
      <w:pPr>
        <w:spacing w:before="0" w:after="0"/>
      </w:pPr>
      <w:r>
        <w:separator/>
      </w:r>
    </w:p>
  </w:footnote>
  <w:footnote w:type="continuationSeparator" w:id="0">
    <w:p w14:paraId="7987D5CF" w14:textId="77777777" w:rsidR="00F8753C" w:rsidRDefault="00F8753C" w:rsidP="00A421BE">
      <w:pPr>
        <w:spacing w:before="0" w:after="0"/>
      </w:pPr>
      <w:r>
        <w:continuationSeparator/>
      </w:r>
    </w:p>
  </w:footnote>
  <w:footnote w:id="1">
    <w:p w14:paraId="6CEB113D" w14:textId="77777777" w:rsidR="0090264B" w:rsidRDefault="0090264B" w:rsidP="0090264B">
      <w:pPr>
        <w:pStyle w:val="Textpoznpodarou"/>
      </w:pPr>
      <w:r>
        <w:rPr>
          <w:rStyle w:val="Znakapoznpodarou"/>
        </w:rPr>
        <w:footnoteRef/>
      </w:r>
      <w:r>
        <w:t xml:space="preserve">  </w:t>
      </w:r>
      <w:r w:rsidRPr="004F1439">
        <w:rPr>
          <w:rFonts w:ascii="Arial" w:hAnsi="Arial" w:cs="Arial"/>
          <w:szCs w:val="18"/>
        </w:rPr>
        <w:t>Zákon č. 365/2000 Sb., o informačních systémech veřejné správy a o změně některých dalších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39C0D" w14:textId="77777777" w:rsidR="00556FE8" w:rsidRDefault="00556F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5757F" w14:textId="77ED3124" w:rsidR="00892791" w:rsidRPr="00BA5D4D" w:rsidRDefault="00BA5D4D" w:rsidP="00BA5D4D">
    <w:pPr>
      <w:pStyle w:val="Zhlav"/>
    </w:pPr>
    <w:r>
      <w:tab/>
    </w:r>
    <w:r>
      <w:tab/>
    </w:r>
    <w:r>
      <w:rPr>
        <w:noProof/>
        <w:lang w:eastAsia="cs-CZ"/>
      </w:rPr>
      <w:drawing>
        <wp:inline distT="0" distB="0" distL="0" distR="0" wp14:anchorId="49CF98F3" wp14:editId="3C2B785F">
          <wp:extent cx="465552" cy="754380"/>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7393" cy="75736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C16A" w14:textId="77777777" w:rsidR="00556FE8" w:rsidRDefault="00556F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7DC"/>
    <w:multiLevelType w:val="hybridMultilevel"/>
    <w:tmpl w:val="74D2F5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364CC1"/>
    <w:multiLevelType w:val="hybridMultilevel"/>
    <w:tmpl w:val="969A0B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414685"/>
    <w:multiLevelType w:val="hybridMultilevel"/>
    <w:tmpl w:val="501838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2A54B3"/>
    <w:multiLevelType w:val="hybridMultilevel"/>
    <w:tmpl w:val="223849A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22F25BD5"/>
    <w:multiLevelType w:val="hybridMultilevel"/>
    <w:tmpl w:val="8E167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4E79"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6" w15:restartNumberingAfterBreak="0">
    <w:nsid w:val="291F4C86"/>
    <w:multiLevelType w:val="hybridMultilevel"/>
    <w:tmpl w:val="CD388F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5F3D0A"/>
    <w:multiLevelType w:val="hybridMultilevel"/>
    <w:tmpl w:val="BDAC0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C01DCE"/>
    <w:multiLevelType w:val="hybridMultilevel"/>
    <w:tmpl w:val="0E0427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737AAB"/>
    <w:multiLevelType w:val="multilevel"/>
    <w:tmpl w:val="0CF8D32A"/>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243CA3"/>
    <w:multiLevelType w:val="hybridMultilevel"/>
    <w:tmpl w:val="0A42F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442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A7F7D0B"/>
    <w:multiLevelType w:val="hybridMultilevel"/>
    <w:tmpl w:val="E7A8A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6F2C7B"/>
    <w:multiLevelType w:val="hybridMultilevel"/>
    <w:tmpl w:val="6BCAC4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853469"/>
    <w:multiLevelType w:val="hybridMultilevel"/>
    <w:tmpl w:val="AAFE738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764D361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6"/>
  </w:num>
  <w:num w:numId="3">
    <w:abstractNumId w:val="0"/>
  </w:num>
  <w:num w:numId="4">
    <w:abstractNumId w:val="13"/>
  </w:num>
  <w:num w:numId="5">
    <w:abstractNumId w:val="11"/>
  </w:num>
  <w:num w:numId="6">
    <w:abstractNumId w:val="4"/>
  </w:num>
  <w:num w:numId="7">
    <w:abstractNumId w:val="1"/>
  </w:num>
  <w:num w:numId="8">
    <w:abstractNumId w:val="2"/>
  </w:num>
  <w:num w:numId="9">
    <w:abstractNumId w:val="5"/>
  </w:num>
  <w:num w:numId="10">
    <w:abstractNumId w:val="12"/>
  </w:num>
  <w:num w:numId="11">
    <w:abstractNumId w:val="8"/>
  </w:num>
  <w:num w:numId="12">
    <w:abstractNumId w:val="10"/>
  </w:num>
  <w:num w:numId="13">
    <w:abstractNumId w:val="14"/>
  </w:num>
  <w:num w:numId="14">
    <w:abstractNumId w:val="15"/>
  </w:num>
  <w:num w:numId="15">
    <w:abstractNumId w:val="9"/>
  </w:num>
  <w:num w:numId="16">
    <w:abstractNumId w:val="9"/>
  </w:num>
  <w:num w:numId="17">
    <w:abstractNumId w:val="3"/>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1BE"/>
    <w:rsid w:val="00002904"/>
    <w:rsid w:val="00010439"/>
    <w:rsid w:val="000136BD"/>
    <w:rsid w:val="00047953"/>
    <w:rsid w:val="00123574"/>
    <w:rsid w:val="00140320"/>
    <w:rsid w:val="00145124"/>
    <w:rsid w:val="001520EE"/>
    <w:rsid w:val="001543F8"/>
    <w:rsid w:val="0017229E"/>
    <w:rsid w:val="00172CE8"/>
    <w:rsid w:val="00181163"/>
    <w:rsid w:val="001F7567"/>
    <w:rsid w:val="0020471F"/>
    <w:rsid w:val="002453C1"/>
    <w:rsid w:val="002548D8"/>
    <w:rsid w:val="002654DD"/>
    <w:rsid w:val="00285556"/>
    <w:rsid w:val="002A20FC"/>
    <w:rsid w:val="002C499A"/>
    <w:rsid w:val="002C4B93"/>
    <w:rsid w:val="002F36F6"/>
    <w:rsid w:val="00313185"/>
    <w:rsid w:val="00345838"/>
    <w:rsid w:val="003807FE"/>
    <w:rsid w:val="003838DC"/>
    <w:rsid w:val="00392202"/>
    <w:rsid w:val="003A55E3"/>
    <w:rsid w:val="00420AFE"/>
    <w:rsid w:val="004321FD"/>
    <w:rsid w:val="00432F23"/>
    <w:rsid w:val="004703AA"/>
    <w:rsid w:val="00480276"/>
    <w:rsid w:val="00495D02"/>
    <w:rsid w:val="004C1C4F"/>
    <w:rsid w:val="004C53B0"/>
    <w:rsid w:val="004D0D78"/>
    <w:rsid w:val="00501BFA"/>
    <w:rsid w:val="00556C19"/>
    <w:rsid w:val="00556FE8"/>
    <w:rsid w:val="006337FE"/>
    <w:rsid w:val="006356D1"/>
    <w:rsid w:val="00637F57"/>
    <w:rsid w:val="00643541"/>
    <w:rsid w:val="00666D79"/>
    <w:rsid w:val="006962E6"/>
    <w:rsid w:val="006B3AE9"/>
    <w:rsid w:val="006C3757"/>
    <w:rsid w:val="006D5B56"/>
    <w:rsid w:val="006E4050"/>
    <w:rsid w:val="006F1ED4"/>
    <w:rsid w:val="006F691E"/>
    <w:rsid w:val="006F731C"/>
    <w:rsid w:val="0072236E"/>
    <w:rsid w:val="007A1F58"/>
    <w:rsid w:val="007B4CD8"/>
    <w:rsid w:val="007D652C"/>
    <w:rsid w:val="007E5785"/>
    <w:rsid w:val="008023B3"/>
    <w:rsid w:val="00803E7E"/>
    <w:rsid w:val="00812156"/>
    <w:rsid w:val="00812A8E"/>
    <w:rsid w:val="00837AB5"/>
    <w:rsid w:val="00882EBF"/>
    <w:rsid w:val="00892791"/>
    <w:rsid w:val="008B30C3"/>
    <w:rsid w:val="008E0EEB"/>
    <w:rsid w:val="008F132E"/>
    <w:rsid w:val="0090264B"/>
    <w:rsid w:val="0098291F"/>
    <w:rsid w:val="00996488"/>
    <w:rsid w:val="009A3EAC"/>
    <w:rsid w:val="009A6E55"/>
    <w:rsid w:val="00A07025"/>
    <w:rsid w:val="00A148C6"/>
    <w:rsid w:val="00A421BE"/>
    <w:rsid w:val="00A55FAA"/>
    <w:rsid w:val="00A97CB1"/>
    <w:rsid w:val="00AA06D3"/>
    <w:rsid w:val="00B02D78"/>
    <w:rsid w:val="00B1502B"/>
    <w:rsid w:val="00B825FF"/>
    <w:rsid w:val="00B857B1"/>
    <w:rsid w:val="00BA5D4D"/>
    <w:rsid w:val="00BB2AD1"/>
    <w:rsid w:val="00BD7EAB"/>
    <w:rsid w:val="00BF0C87"/>
    <w:rsid w:val="00C34850"/>
    <w:rsid w:val="00C37A2B"/>
    <w:rsid w:val="00C47A91"/>
    <w:rsid w:val="00CB63C4"/>
    <w:rsid w:val="00CE2992"/>
    <w:rsid w:val="00D11F2F"/>
    <w:rsid w:val="00D21E61"/>
    <w:rsid w:val="00D2386D"/>
    <w:rsid w:val="00D26FBB"/>
    <w:rsid w:val="00D51BA6"/>
    <w:rsid w:val="00D65FAF"/>
    <w:rsid w:val="00D819B0"/>
    <w:rsid w:val="00D8260C"/>
    <w:rsid w:val="00D94495"/>
    <w:rsid w:val="00E00833"/>
    <w:rsid w:val="00E02FD8"/>
    <w:rsid w:val="00E24426"/>
    <w:rsid w:val="00E27A85"/>
    <w:rsid w:val="00E85C4C"/>
    <w:rsid w:val="00EC5AF4"/>
    <w:rsid w:val="00EE1071"/>
    <w:rsid w:val="00EE4F1C"/>
    <w:rsid w:val="00EF0127"/>
    <w:rsid w:val="00EF2F2C"/>
    <w:rsid w:val="00F5506D"/>
    <w:rsid w:val="00F83126"/>
    <w:rsid w:val="00F8753C"/>
    <w:rsid w:val="00F94BE9"/>
    <w:rsid w:val="00FC3418"/>
    <w:rsid w:val="00FE7A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757E7"/>
  <w15:chartTrackingRefBased/>
  <w15:docId w15:val="{3547AC7D-065E-43B4-82AC-04D6D467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21BE"/>
    <w:pPr>
      <w:spacing w:before="120" w:after="120" w:line="240" w:lineRule="auto"/>
      <w:jc w:val="both"/>
    </w:pPr>
    <w:rPr>
      <w:rFonts w:ascii="Arial" w:hAnsi="Arial"/>
      <w:sz w:val="20"/>
    </w:rPr>
  </w:style>
  <w:style w:type="paragraph" w:styleId="Nadpis1">
    <w:name w:val="heading 1"/>
    <w:basedOn w:val="Normln"/>
    <w:next w:val="Normln"/>
    <w:link w:val="Nadpis1Char"/>
    <w:qFormat/>
    <w:rsid w:val="00A421BE"/>
    <w:pPr>
      <w:keepNext/>
      <w:numPr>
        <w:numId w:val="1"/>
      </w:numPr>
      <w:spacing w:before="240" w:after="240"/>
      <w:outlineLvl w:val="0"/>
    </w:pPr>
    <w:rPr>
      <w:rFonts w:eastAsia="Times New Roman" w:cs="Times New Roman"/>
      <w:b/>
      <w:bCs/>
      <w:kern w:val="32"/>
      <w:sz w:val="28"/>
      <w:szCs w:val="32"/>
      <w:lang w:eastAsia="cs-CZ"/>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adpis1"/>
    <w:next w:val="Normln"/>
    <w:link w:val="Nadpis2Char"/>
    <w:uiPriority w:val="9"/>
    <w:qFormat/>
    <w:rsid w:val="00A421BE"/>
    <w:pPr>
      <w:numPr>
        <w:ilvl w:val="1"/>
      </w:numPr>
      <w:spacing w:after="120"/>
      <w:ind w:left="709" w:hanging="709"/>
      <w:outlineLvl w:val="1"/>
    </w:pPr>
    <w:rPr>
      <w:sz w:val="24"/>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adpis2"/>
    <w:next w:val="Normln"/>
    <w:link w:val="Nadpis3Char"/>
    <w:uiPriority w:val="9"/>
    <w:unhideWhenUsed/>
    <w:qFormat/>
    <w:rsid w:val="00A421BE"/>
    <w:pPr>
      <w:numPr>
        <w:ilvl w:val="2"/>
      </w:numPr>
      <w:ind w:left="851" w:hanging="851"/>
      <w:outlineLvl w:val="2"/>
    </w:pPr>
    <w:rPr>
      <w:sz w:val="22"/>
    </w:rPr>
  </w:style>
  <w:style w:type="paragraph" w:styleId="Nadpis8">
    <w:name w:val="heading 8"/>
    <w:basedOn w:val="Normln"/>
    <w:next w:val="Normln"/>
    <w:link w:val="Nadpis8Char"/>
    <w:uiPriority w:val="9"/>
    <w:semiHidden/>
    <w:unhideWhenUsed/>
    <w:qFormat/>
    <w:rsid w:val="00803E7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421BE"/>
    <w:pPr>
      <w:tabs>
        <w:tab w:val="center" w:pos="4536"/>
        <w:tab w:val="right" w:pos="9072"/>
      </w:tabs>
      <w:spacing w:after="0"/>
    </w:pPr>
  </w:style>
  <w:style w:type="character" w:customStyle="1" w:styleId="ZhlavChar">
    <w:name w:val="Záhlaví Char"/>
    <w:basedOn w:val="Standardnpsmoodstavce"/>
    <w:link w:val="Zhlav"/>
    <w:rsid w:val="00A421BE"/>
  </w:style>
  <w:style w:type="paragraph" w:styleId="Zpat">
    <w:name w:val="footer"/>
    <w:basedOn w:val="Normln"/>
    <w:link w:val="ZpatChar"/>
    <w:uiPriority w:val="99"/>
    <w:unhideWhenUsed/>
    <w:rsid w:val="00A421BE"/>
    <w:pPr>
      <w:tabs>
        <w:tab w:val="center" w:pos="4536"/>
        <w:tab w:val="right" w:pos="9072"/>
      </w:tabs>
      <w:spacing w:after="0"/>
    </w:pPr>
  </w:style>
  <w:style w:type="character" w:customStyle="1" w:styleId="ZpatChar">
    <w:name w:val="Zápatí Char"/>
    <w:basedOn w:val="Standardnpsmoodstavce"/>
    <w:link w:val="Zpat"/>
    <w:uiPriority w:val="99"/>
    <w:rsid w:val="00A421BE"/>
  </w:style>
  <w:style w:type="character" w:customStyle="1" w:styleId="Nadpis1Char">
    <w:name w:val="Nadpis 1 Char"/>
    <w:basedOn w:val="Standardnpsmoodstavce"/>
    <w:link w:val="Nadpis1"/>
    <w:rsid w:val="00A421BE"/>
    <w:rPr>
      <w:rFonts w:ascii="Arial" w:eastAsia="Times New Roman" w:hAnsi="Arial" w:cs="Times New Roman"/>
      <w:b/>
      <w:bCs/>
      <w:kern w:val="32"/>
      <w:sz w:val="28"/>
      <w:szCs w:val="32"/>
      <w:lang w:eastAsia="cs-CZ"/>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A421BE"/>
    <w:rPr>
      <w:rFonts w:ascii="Arial" w:eastAsia="Times New Roman" w:hAnsi="Arial" w:cs="Times New Roman"/>
      <w:b/>
      <w:bCs/>
      <w:kern w:val="32"/>
      <w:sz w:val="24"/>
      <w:szCs w:val="32"/>
      <w:lang w:eastAsia="cs-CZ"/>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A421BE"/>
    <w:rPr>
      <w:rFonts w:ascii="Arial" w:eastAsia="Times New Roman" w:hAnsi="Arial" w:cs="Times New Roman"/>
      <w:b/>
      <w:bCs/>
      <w:kern w:val="32"/>
      <w:szCs w:val="32"/>
      <w:lang w:eastAsia="cs-CZ"/>
    </w:rPr>
  </w:style>
  <w:style w:type="paragraph" w:styleId="Odstavecseseznamem">
    <w:name w:val="List Paragraph"/>
    <w:aliases w:val="Nad,Odstavec cíl se seznamem,Odstavec se seznamem5,Odstavec_muj,Odrážky,Reference List,Odstavec se seznamem a odrážkou,1 úroveň Odstavec se seznamem,Odstavec,Odstavec se seznamem1,Odstavec se seznamem2,List Paragraph,Odstavec_muj1"/>
    <w:basedOn w:val="Normln"/>
    <w:link w:val="OdstavecseseznamemChar"/>
    <w:uiPriority w:val="34"/>
    <w:qFormat/>
    <w:rsid w:val="00A421BE"/>
    <w:pPr>
      <w:spacing w:after="0"/>
      <w:ind w:left="720"/>
      <w:contextualSpacing/>
    </w:pPr>
    <w:rPr>
      <w:rFonts w:eastAsia="Times New Roman" w:cs="Times New Roman"/>
      <w:szCs w:val="24"/>
      <w:lang w:eastAsia="cs-CZ"/>
    </w:rPr>
  </w:style>
  <w:style w:type="character" w:customStyle="1" w:styleId="OdstavecseseznamemChar">
    <w:name w:val="Odstavec se seznamem Char"/>
    <w:aliases w:val="Nad Char,Odstavec cíl se seznamem Char,Odstavec se seznamem5 Char,Odstavec_muj Char,Odrážky Char,Reference List Char,Odstavec se seznamem a odrážkou Char,1 úroveň Odstavec se seznamem Char,Odstavec Char,List Paragraph Char"/>
    <w:basedOn w:val="Standardnpsmoodstavce"/>
    <w:link w:val="Odstavecseseznamem"/>
    <w:uiPriority w:val="72"/>
    <w:qFormat/>
    <w:locked/>
    <w:rsid w:val="00A421BE"/>
    <w:rPr>
      <w:rFonts w:ascii="Arial" w:eastAsia="Times New Roman" w:hAnsi="Arial" w:cs="Times New Roman"/>
      <w:sz w:val="20"/>
      <w:szCs w:val="24"/>
      <w:lang w:eastAsia="cs-CZ"/>
    </w:rPr>
  </w:style>
  <w:style w:type="table" w:styleId="Mkatabulky">
    <w:name w:val="Table Grid"/>
    <w:basedOn w:val="Normlntabulka"/>
    <w:uiPriority w:val="59"/>
    <w:rsid w:val="00A42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A421BE"/>
    <w:rPr>
      <w:sz w:val="16"/>
      <w:szCs w:val="16"/>
    </w:rPr>
  </w:style>
  <w:style w:type="paragraph" w:styleId="Textkomente">
    <w:name w:val="annotation text"/>
    <w:basedOn w:val="Normln"/>
    <w:link w:val="TextkomenteChar"/>
    <w:uiPriority w:val="99"/>
    <w:unhideWhenUsed/>
    <w:rsid w:val="00A421BE"/>
    <w:rPr>
      <w:szCs w:val="20"/>
    </w:rPr>
  </w:style>
  <w:style w:type="character" w:customStyle="1" w:styleId="TextkomenteChar">
    <w:name w:val="Text komentáře Char"/>
    <w:basedOn w:val="Standardnpsmoodstavce"/>
    <w:link w:val="Textkomente"/>
    <w:uiPriority w:val="99"/>
    <w:rsid w:val="00A421BE"/>
    <w:rPr>
      <w:rFonts w:ascii="Arial" w:hAnsi="Arial"/>
      <w:sz w:val="20"/>
      <w:szCs w:val="20"/>
    </w:rPr>
  </w:style>
  <w:style w:type="paragraph" w:styleId="Textbubliny">
    <w:name w:val="Balloon Text"/>
    <w:basedOn w:val="Normln"/>
    <w:link w:val="TextbublinyChar"/>
    <w:uiPriority w:val="99"/>
    <w:semiHidden/>
    <w:unhideWhenUsed/>
    <w:rsid w:val="00A421BE"/>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421BE"/>
    <w:rPr>
      <w:rFonts w:ascii="Segoe UI" w:hAnsi="Segoe UI" w:cs="Segoe UI"/>
      <w:sz w:val="18"/>
      <w:szCs w:val="18"/>
    </w:rPr>
  </w:style>
  <w:style w:type="paragraph" w:customStyle="1" w:styleId="Nadpis2A">
    <w:name w:val="Nadpis 2A"/>
    <w:basedOn w:val="Nadpis2"/>
    <w:link w:val="Nadpis2AChar"/>
    <w:qFormat/>
    <w:rsid w:val="006356D1"/>
    <w:pPr>
      <w:numPr>
        <w:ilvl w:val="0"/>
        <w:numId w:val="0"/>
      </w:numPr>
      <w:ind w:left="709" w:hanging="709"/>
    </w:pPr>
    <w:rPr>
      <w:b w:val="0"/>
      <w:sz w:val="20"/>
    </w:rPr>
  </w:style>
  <w:style w:type="paragraph" w:customStyle="1" w:styleId="Default">
    <w:name w:val="Default"/>
    <w:rsid w:val="006337FE"/>
    <w:pPr>
      <w:autoSpaceDE w:val="0"/>
      <w:autoSpaceDN w:val="0"/>
      <w:adjustRightInd w:val="0"/>
      <w:spacing w:after="0" w:line="240" w:lineRule="auto"/>
    </w:pPr>
    <w:rPr>
      <w:rFonts w:ascii="Arial" w:hAnsi="Arial" w:cs="Arial"/>
      <w:color w:val="000000"/>
      <w:sz w:val="24"/>
      <w:szCs w:val="24"/>
    </w:rPr>
  </w:style>
  <w:style w:type="character" w:customStyle="1" w:styleId="Nadpis2AChar">
    <w:name w:val="Nadpis 2A Char"/>
    <w:basedOn w:val="Nadpis2Char"/>
    <w:link w:val="Nadpis2A"/>
    <w:rsid w:val="006356D1"/>
    <w:rPr>
      <w:rFonts w:ascii="Arial" w:eastAsia="Times New Roman" w:hAnsi="Arial" w:cs="Times New Roman"/>
      <w:b w:val="0"/>
      <w:bCs/>
      <w:kern w:val="32"/>
      <w:sz w:val="20"/>
      <w:szCs w:val="32"/>
      <w:lang w:eastAsia="cs-CZ"/>
    </w:rPr>
  </w:style>
  <w:style w:type="character" w:styleId="Hypertextovodkaz">
    <w:name w:val="Hyperlink"/>
    <w:basedOn w:val="Standardnpsmoodstavce"/>
    <w:uiPriority w:val="99"/>
    <w:unhideWhenUsed/>
    <w:rsid w:val="00892791"/>
    <w:rPr>
      <w:color w:val="0563C1" w:themeColor="hyperlink"/>
      <w:u w:val="single"/>
    </w:rPr>
  </w:style>
  <w:style w:type="character" w:customStyle="1" w:styleId="Nevyeenzmnka1">
    <w:name w:val="Nevyřešená zmínka1"/>
    <w:basedOn w:val="Standardnpsmoodstavce"/>
    <w:uiPriority w:val="99"/>
    <w:semiHidden/>
    <w:unhideWhenUsed/>
    <w:rsid w:val="00892791"/>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E4F1C"/>
    <w:rPr>
      <w:b/>
      <w:bCs/>
    </w:rPr>
  </w:style>
  <w:style w:type="character" w:customStyle="1" w:styleId="PedmtkomenteChar">
    <w:name w:val="Předmět komentáře Char"/>
    <w:basedOn w:val="TextkomenteChar"/>
    <w:link w:val="Pedmtkomente"/>
    <w:uiPriority w:val="99"/>
    <w:semiHidden/>
    <w:rsid w:val="00EE4F1C"/>
    <w:rPr>
      <w:rFonts w:ascii="Arial" w:hAnsi="Arial"/>
      <w:b/>
      <w:bCs/>
      <w:sz w:val="20"/>
      <w:szCs w:val="20"/>
    </w:rPr>
  </w:style>
  <w:style w:type="paragraph" w:customStyle="1" w:styleId="Tabulkatext">
    <w:name w:val="Tabulka text"/>
    <w:link w:val="TabulkatextChar"/>
    <w:uiPriority w:val="6"/>
    <w:qFormat/>
    <w:rsid w:val="006F691E"/>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6F691E"/>
    <w:rPr>
      <w:color w:val="080808"/>
      <w:sz w:val="20"/>
    </w:rPr>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Char1"/>
    <w:basedOn w:val="Normln"/>
    <w:link w:val="TextpoznpodarouChar"/>
    <w:uiPriority w:val="99"/>
    <w:qFormat/>
    <w:rsid w:val="0090264B"/>
    <w:pPr>
      <w:spacing w:before="0" w:after="0"/>
    </w:pPr>
    <w:rPr>
      <w:rFonts w:asciiTheme="minorHAnsi" w:hAnsiTheme="minorHAnsi"/>
      <w:color w:val="000000"/>
      <w:sz w:val="18"/>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90264B"/>
    <w:rPr>
      <w:color w:val="000000"/>
      <w:sz w:val="18"/>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uiPriority w:val="99"/>
    <w:unhideWhenUsed/>
    <w:rsid w:val="0090264B"/>
    <w:rPr>
      <w:vertAlign w:val="superscript"/>
    </w:rPr>
  </w:style>
  <w:style w:type="paragraph" w:styleId="Podnadpis">
    <w:name w:val="Subtitle"/>
    <w:basedOn w:val="Normln"/>
    <w:next w:val="Normln"/>
    <w:link w:val="PodnadpisChar"/>
    <w:uiPriority w:val="15"/>
    <w:qFormat/>
    <w:rsid w:val="00CB63C4"/>
    <w:pPr>
      <w:numPr>
        <w:ilvl w:val="1"/>
      </w:numPr>
      <w:spacing w:before="0" w:after="220"/>
      <w:ind w:left="113"/>
      <w:jc w:val="left"/>
    </w:pPr>
    <w:rPr>
      <w:rFonts w:asciiTheme="majorHAnsi" w:eastAsiaTheme="majorEastAsia" w:hAnsiTheme="majorHAnsi" w:cstheme="majorBidi"/>
      <w:b/>
      <w:iCs/>
      <w:color w:val="000000"/>
      <w:sz w:val="36"/>
      <w:szCs w:val="24"/>
    </w:rPr>
  </w:style>
  <w:style w:type="character" w:customStyle="1" w:styleId="PodnadpisChar">
    <w:name w:val="Podnadpis Char"/>
    <w:basedOn w:val="Standardnpsmoodstavce"/>
    <w:link w:val="Podnadpis"/>
    <w:uiPriority w:val="15"/>
    <w:rsid w:val="00CB63C4"/>
    <w:rPr>
      <w:rFonts w:asciiTheme="majorHAnsi" w:eastAsiaTheme="majorEastAsia" w:hAnsiTheme="majorHAnsi" w:cstheme="majorBidi"/>
      <w:b/>
      <w:iCs/>
      <w:color w:val="000000"/>
      <w:sz w:val="36"/>
      <w:szCs w:val="24"/>
    </w:rPr>
  </w:style>
  <w:style w:type="character" w:customStyle="1" w:styleId="Nadpis8Char">
    <w:name w:val="Nadpis 8 Char"/>
    <w:basedOn w:val="Standardnpsmoodstavce"/>
    <w:link w:val="Nadpis8"/>
    <w:uiPriority w:val="9"/>
    <w:semiHidden/>
    <w:rsid w:val="00803E7E"/>
    <w:rPr>
      <w:rFonts w:asciiTheme="majorHAnsi" w:eastAsiaTheme="majorEastAsia" w:hAnsiTheme="majorHAnsi" w:cstheme="majorBidi"/>
      <w:color w:val="272727" w:themeColor="text1" w:themeTint="D8"/>
      <w:sz w:val="21"/>
      <w:szCs w:val="21"/>
    </w:rPr>
  </w:style>
  <w:style w:type="paragraph" w:customStyle="1" w:styleId="Normal1">
    <w:name w:val="Normal 1"/>
    <w:basedOn w:val="Normln"/>
    <w:link w:val="Normal1Char"/>
    <w:uiPriority w:val="99"/>
    <w:rsid w:val="00803E7E"/>
    <w:pPr>
      <w:ind w:left="880"/>
    </w:pPr>
    <w:rPr>
      <w:rFonts w:ascii="Times New Roman" w:eastAsia="SimSun" w:hAnsi="Times New Roman" w:cs="Times New Roman"/>
      <w:sz w:val="22"/>
      <w:szCs w:val="20"/>
    </w:rPr>
  </w:style>
  <w:style w:type="character" w:customStyle="1" w:styleId="Normal1Char">
    <w:name w:val="Normal 1 Char"/>
    <w:link w:val="Normal1"/>
    <w:uiPriority w:val="99"/>
    <w:rsid w:val="00803E7E"/>
    <w:rPr>
      <w:rFonts w:ascii="Times New Roman" w:eastAsia="SimSun" w:hAnsi="Times New Roman" w:cs="Times New Roman"/>
      <w:szCs w:val="20"/>
    </w:rPr>
  </w:style>
  <w:style w:type="paragraph" w:styleId="Obsah5">
    <w:name w:val="toc 5"/>
    <w:basedOn w:val="Normln"/>
    <w:next w:val="Normln"/>
    <w:autoRedefine/>
    <w:uiPriority w:val="39"/>
    <w:unhideWhenUsed/>
    <w:rsid w:val="003838DC"/>
    <w:pPr>
      <w:tabs>
        <w:tab w:val="left" w:pos="1588"/>
        <w:tab w:val="right" w:leader="dot" w:pos="9061"/>
      </w:tabs>
      <w:spacing w:before="0" w:after="0"/>
      <w:ind w:left="397"/>
    </w:pPr>
    <w:rPr>
      <w:rFonts w:asciiTheme="minorHAnsi" w:hAnsiTheme="minorHAnsi"/>
      <w:color w:val="000000"/>
      <w:sz w:val="18"/>
      <w:szCs w:val="18"/>
    </w:rPr>
  </w:style>
  <w:style w:type="paragraph" w:styleId="Nadpisobsahu">
    <w:name w:val="TOC Heading"/>
    <w:basedOn w:val="Nadpis1"/>
    <w:next w:val="Normln"/>
    <w:uiPriority w:val="39"/>
    <w:semiHidden/>
    <w:unhideWhenUsed/>
    <w:qFormat/>
    <w:rsid w:val="002F36F6"/>
    <w:pPr>
      <w:keepLines/>
      <w:numPr>
        <w:numId w:val="0"/>
      </w:numPr>
      <w:spacing w:after="0"/>
      <w:outlineLvl w:val="9"/>
    </w:pPr>
    <w:rPr>
      <w:rFonts w:asciiTheme="majorHAnsi" w:eastAsiaTheme="majorEastAsia" w:hAnsiTheme="majorHAnsi" w:cstheme="majorBidi"/>
      <w:b w:val="0"/>
      <w:bCs w:val="0"/>
      <w:color w:val="2F5496" w:themeColor="accent1" w:themeShade="BF"/>
      <w:kern w:val="0"/>
      <w:sz w:val="32"/>
      <w:lang w:eastAsia="en-US"/>
    </w:rPr>
  </w:style>
  <w:style w:type="paragraph" w:customStyle="1" w:styleId="Odrka">
    <w:name w:val="Odrážka"/>
    <w:basedOn w:val="Normln"/>
    <w:qFormat/>
    <w:rsid w:val="00010439"/>
    <w:pPr>
      <w:numPr>
        <w:numId w:val="9"/>
      </w:numPr>
      <w:spacing w:before="100" w:after="100"/>
    </w:pPr>
    <w:rPr>
      <w:rFonts w:eastAsia="Times New Roman" w:cs="Times New Roman"/>
      <w:szCs w:val="24"/>
      <w:lang w:eastAsia="cs-CZ"/>
    </w:rPr>
  </w:style>
  <w:style w:type="character" w:styleId="Sledovanodkaz">
    <w:name w:val="FollowedHyperlink"/>
    <w:basedOn w:val="Standardnpsmoodstavce"/>
    <w:uiPriority w:val="99"/>
    <w:semiHidden/>
    <w:unhideWhenUsed/>
    <w:rsid w:val="00002904"/>
    <w:rPr>
      <w:color w:val="954F72" w:themeColor="followedHyperlink"/>
      <w:u w:val="single"/>
    </w:rPr>
  </w:style>
  <w:style w:type="character" w:customStyle="1" w:styleId="UnresolvedMention">
    <w:name w:val="Unresolved Mention"/>
    <w:basedOn w:val="Standardnpsmoodstavce"/>
    <w:uiPriority w:val="99"/>
    <w:semiHidden/>
    <w:unhideWhenUsed/>
    <w:rsid w:val="000029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 TargetMode="External"/><Relationship Id="rId13" Type="http://schemas.openxmlformats.org/officeDocument/2006/relationships/hyperlink" Target="https://zakazky.mukolin.cz/"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azky.mukolin.cz/" TargetMode="External"/><Relationship Id="rId12" Type="http://schemas.openxmlformats.org/officeDocument/2006/relationships/hyperlink" Target="http://www.rzp.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justice.cz/ias/ui/rejstri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zakazky.mukolin.cz/contract_index.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petr.musilek@mukolin.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4382</Words>
  <Characters>25854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Alena</dc:creator>
  <cp:keywords/>
  <dc:description/>
  <cp:lastModifiedBy>Kuchařová Šárka</cp:lastModifiedBy>
  <cp:revision>3</cp:revision>
  <dcterms:created xsi:type="dcterms:W3CDTF">2021-07-29T07:39:00Z</dcterms:created>
  <dcterms:modified xsi:type="dcterms:W3CDTF">2021-07-29T07:41:00Z</dcterms:modified>
</cp:coreProperties>
</file>