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87" w:rsidRPr="00282633" w:rsidRDefault="00A855A4" w:rsidP="00282633">
      <w:pPr>
        <w:pStyle w:val="Zkladntext"/>
        <w:jc w:val="left"/>
      </w:pPr>
      <w:r>
        <w:t>Příloha č. 2</w:t>
      </w:r>
    </w:p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DD2C87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right="-108"/>
        <w:rPr>
          <w:sz w:val="22"/>
          <w:szCs w:val="22"/>
        </w:rPr>
      </w:pPr>
    </w:p>
    <w:p w:rsidR="00DD2C87" w:rsidRDefault="00A855A4" w:rsidP="00DD2C87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>„</w:t>
      </w:r>
      <w:r w:rsidR="00975E49">
        <w:rPr>
          <w:sz w:val="22"/>
          <w:szCs w:val="22"/>
        </w:rPr>
        <w:t>Pořízení 2 ks mobilního sociálního zařízení pro návštěvníky města Kolína</w:t>
      </w:r>
      <w:r>
        <w:rPr>
          <w:sz w:val="22"/>
          <w:szCs w:val="22"/>
        </w:rPr>
        <w:t>“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75E49">
        <w:rPr>
          <w:rFonts w:ascii="Arial" w:hAnsi="Arial" w:cs="Arial"/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2477"/>
    <w:rsid w:val="004B5F07"/>
    <w:rsid w:val="004D15B3"/>
    <w:rsid w:val="00533E6B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975E49"/>
    <w:rsid w:val="00A855A4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3B6F"/>
  <w15:docId w15:val="{3F3B7B05-2A32-4CC2-97A9-5AED09A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3DF6-FBF8-4C67-A6B0-2AE6083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Váňová Radka</cp:lastModifiedBy>
  <cp:revision>4</cp:revision>
  <cp:lastPrinted>2017-04-04T05:19:00Z</cp:lastPrinted>
  <dcterms:created xsi:type="dcterms:W3CDTF">2019-05-31T06:59:00Z</dcterms:created>
  <dcterms:modified xsi:type="dcterms:W3CDTF">2019-06-17T06:32:00Z</dcterms:modified>
</cp:coreProperties>
</file>