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08F0" w14:textId="77777777" w:rsidR="00F00E77" w:rsidRPr="00414AA8" w:rsidRDefault="00F00E77" w:rsidP="00F00E77">
      <w:pPr>
        <w:keepNext/>
        <w:keepLines/>
        <w:suppressAutoHyphens/>
        <w:spacing w:before="36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cs-CZ"/>
        </w:rPr>
      </w:pPr>
      <w:r w:rsidRPr="00414AA8"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cs-CZ"/>
        </w:rPr>
        <w:t>KUPNÍ SMLOUVA</w:t>
      </w:r>
    </w:p>
    <w:p w14:paraId="63FEC324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Smluvní strany:</w:t>
      </w:r>
    </w:p>
    <w:p w14:paraId="3F9121C2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DC8D59C" w14:textId="601E02B8" w:rsidR="00F00E77" w:rsidRPr="00414AA8" w:rsidRDefault="00A17021" w:rsidP="003E642A">
      <w:pPr>
        <w:tabs>
          <w:tab w:val="left" w:pos="709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1.</w:t>
      </w:r>
      <w:r w:rsidR="00F00E77" w:rsidRPr="00414AA8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ab/>
        <w:t>Město Kolín</w:t>
      </w:r>
    </w:p>
    <w:p w14:paraId="5CB79C1C" w14:textId="0893C182" w:rsidR="00F00E77" w:rsidRPr="00414AA8" w:rsidRDefault="00F00E77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Se sídlem:</w:t>
      </w:r>
      <w:r w:rsidRPr="00414AA8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ab/>
      </w:r>
      <w:r w:rsidRPr="00414A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Karlovo nám. 78, 280 12 Kolín I</w:t>
      </w:r>
    </w:p>
    <w:p w14:paraId="0AECC13B" w14:textId="27734483" w:rsidR="00F00E77" w:rsidRDefault="00F00E77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Zastoupený:</w:t>
      </w:r>
      <w:r w:rsidRPr="00414A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>Mgr. Michael Kašpar, starosta</w:t>
      </w:r>
    </w:p>
    <w:p w14:paraId="1177F4E6" w14:textId="77777777" w:rsidR="006D67C0" w:rsidRPr="006D67C0" w:rsidRDefault="006D67C0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D67C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Za kupujícího je oprávněn jednat</w:t>
      </w:r>
    </w:p>
    <w:p w14:paraId="41FAE2F6" w14:textId="36D95C4C" w:rsidR="006D67C0" w:rsidRPr="006D67C0" w:rsidRDefault="006D67C0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D67C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ve věcech smluvních</w:t>
      </w:r>
      <w:r w:rsidR="00E7400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:</w:t>
      </w:r>
      <w:r w:rsidRPr="006D67C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E7400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6D67C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Mgr. </w:t>
      </w:r>
      <w:r w:rsidRPr="00414A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</w:t>
      </w:r>
      <w:r w:rsidR="00E7400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onika Pohůnková, tajemnice MěÚ Kolín</w:t>
      </w:r>
    </w:p>
    <w:p w14:paraId="0FD94847" w14:textId="004283F2" w:rsidR="006D67C0" w:rsidRPr="00414AA8" w:rsidRDefault="006D67C0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D67C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ve věcech technických</w:t>
      </w:r>
      <w:r w:rsidR="00E7400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: </w:t>
      </w:r>
      <w:r w:rsidR="003E64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Petr Musílek, vedoucí oddělení informatiky</w:t>
      </w:r>
    </w:p>
    <w:p w14:paraId="37BDACDB" w14:textId="32E6D64C" w:rsidR="00F00E77" w:rsidRPr="00414AA8" w:rsidRDefault="003E642A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F00E77" w:rsidRPr="00414A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00235440</w:t>
      </w:r>
    </w:p>
    <w:p w14:paraId="029D1EC9" w14:textId="74A981CF" w:rsidR="00F00E77" w:rsidRPr="00414AA8" w:rsidRDefault="003E642A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DIČ: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F00E77" w:rsidRPr="00414A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CZ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00235440</w:t>
      </w:r>
    </w:p>
    <w:p w14:paraId="60B2B499" w14:textId="25E5E7B9" w:rsidR="00F00E77" w:rsidRPr="00414AA8" w:rsidRDefault="00F00E77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Bank. spojení: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spořitelna</w:t>
      </w:r>
    </w:p>
    <w:p w14:paraId="42C73889" w14:textId="7FF7720E" w:rsidR="00F00E77" w:rsidRPr="00414AA8" w:rsidRDefault="00F00E77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3661832/0800</w:t>
      </w:r>
    </w:p>
    <w:p w14:paraId="6FD0C046" w14:textId="77777777" w:rsidR="00F00E77" w:rsidRPr="00414AA8" w:rsidRDefault="00F00E77" w:rsidP="003E642A">
      <w:pPr>
        <w:tabs>
          <w:tab w:val="left" w:pos="311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414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kupující“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jedné)</w:t>
      </w:r>
    </w:p>
    <w:p w14:paraId="366D3BD6" w14:textId="77777777" w:rsidR="00F00E77" w:rsidRPr="00414AA8" w:rsidRDefault="00F00E77" w:rsidP="003E642A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9D44B4" w14:textId="77777777" w:rsidR="00F00E77" w:rsidRPr="00414AA8" w:rsidRDefault="00F00E77" w:rsidP="00F0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07617D91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1AE4CA" w14:textId="410726DD" w:rsidR="00F00E77" w:rsidRPr="00F00E77" w:rsidRDefault="00F00E77" w:rsidP="003E64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F00E7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2</w:t>
      </w:r>
      <w:r w:rsidR="00A17021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.</w:t>
      </w:r>
      <w:r w:rsidR="00A17021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ab/>
      </w:r>
      <w:r w:rsidR="001830DE" w:rsidRPr="001830DE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cs-CZ"/>
        </w:rPr>
        <w:t>Xxx</w:t>
      </w:r>
    </w:p>
    <w:p w14:paraId="1CC7ED4E" w14:textId="6475ABB7" w:rsidR="00F00E77" w:rsidRPr="003E642A" w:rsidRDefault="00F00E77" w:rsidP="003E642A">
      <w:pPr>
        <w:tabs>
          <w:tab w:val="left" w:pos="3261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</w:pPr>
      <w:r w:rsidRPr="003E642A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cs-CZ"/>
        </w:rPr>
        <w:t>Se sídlem:</w:t>
      </w:r>
      <w:r w:rsidR="003E642A" w:rsidRPr="003E642A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cs-CZ"/>
        </w:rPr>
        <w:tab/>
      </w:r>
    </w:p>
    <w:p w14:paraId="3CE78D99" w14:textId="11497369" w:rsidR="00F00E77" w:rsidRPr="003E642A" w:rsidRDefault="00F00E77" w:rsidP="003E642A">
      <w:pPr>
        <w:tabs>
          <w:tab w:val="left" w:pos="3261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</w:pPr>
      <w:r w:rsidRPr="003E642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  <w:t>Zastoupený:</w:t>
      </w:r>
      <w:r w:rsidR="003E642A" w:rsidRPr="003E642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  <w:tab/>
      </w:r>
    </w:p>
    <w:p w14:paraId="1A2FEC45" w14:textId="49DD3426" w:rsidR="00F00E77" w:rsidRPr="003E642A" w:rsidRDefault="00F00E77" w:rsidP="003E642A">
      <w:pPr>
        <w:tabs>
          <w:tab w:val="left" w:pos="3261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</w:pPr>
      <w:r w:rsidRPr="003E642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  <w:t>IČO:</w:t>
      </w:r>
      <w:r w:rsidR="003E642A" w:rsidRPr="003E642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  <w:tab/>
      </w:r>
    </w:p>
    <w:p w14:paraId="3B87C3B2" w14:textId="462667B4" w:rsidR="00F00E77" w:rsidRPr="003E642A" w:rsidRDefault="00F00E77" w:rsidP="003E642A">
      <w:pPr>
        <w:tabs>
          <w:tab w:val="left" w:pos="32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E642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  <w:t>DIČ:</w:t>
      </w:r>
      <w:r w:rsidR="003E642A" w:rsidRPr="003E642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  <w:tab/>
      </w:r>
    </w:p>
    <w:p w14:paraId="626B5915" w14:textId="26622E04" w:rsidR="00F00E77" w:rsidRPr="003E642A" w:rsidRDefault="00F00E77" w:rsidP="003E642A">
      <w:pPr>
        <w:tabs>
          <w:tab w:val="left" w:pos="32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Zapsaný v OR </w:t>
      </w:r>
      <w:r w:rsidR="001830DE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ab/>
      </w:r>
    </w:p>
    <w:p w14:paraId="4B45572A" w14:textId="55BCC8AD" w:rsidR="00F00E77" w:rsidRPr="003E642A" w:rsidRDefault="00F00E77" w:rsidP="003E642A">
      <w:pPr>
        <w:tabs>
          <w:tab w:val="left" w:pos="32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Bank. spojení:</w:t>
      </w:r>
      <w:r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ab/>
      </w:r>
    </w:p>
    <w:p w14:paraId="3E2DCC9C" w14:textId="466B6EFC" w:rsidR="00F00E77" w:rsidRPr="00F00E77" w:rsidRDefault="00F00E77" w:rsidP="003E642A">
      <w:pPr>
        <w:tabs>
          <w:tab w:val="left" w:pos="32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Číslo účtu:</w:t>
      </w:r>
      <w:r w:rsidR="003E642A"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ab/>
      </w:r>
    </w:p>
    <w:p w14:paraId="7E0F5B27" w14:textId="77777777" w:rsidR="00F00E77" w:rsidRPr="00414AA8" w:rsidRDefault="00F00E77" w:rsidP="003E642A">
      <w:pPr>
        <w:tabs>
          <w:tab w:val="left" w:pos="32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E7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F00E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prodávající“ </w:t>
      </w:r>
      <w:r w:rsidRPr="00F00E77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jedné)</w:t>
      </w:r>
    </w:p>
    <w:p w14:paraId="2E28E93F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8D5F3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(kupující a prodávající dále společně jen „</w:t>
      </w:r>
      <w:r w:rsidRPr="00414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684B0BC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7CCDAD" w14:textId="77777777" w:rsidR="00F00E77" w:rsidRPr="00414AA8" w:rsidRDefault="00F00E77" w:rsidP="00F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níže psaného dne, měsíce a roku ve smyslu § 2079 zák. č. 89/2012 Sb., občanského zákoníku, ve znění pozdějších předpisů (dále jen „</w:t>
      </w:r>
      <w:r w:rsidRPr="00414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občanský zákoník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“), tuto kupní smlouvu (dále jen „</w:t>
      </w:r>
      <w:r w:rsidRPr="00414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DEB3438" w14:textId="5246598F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0" w:name="_Ref168477626"/>
      <w:bookmarkStart w:id="1" w:name="_Toc384983055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I. </w:t>
      </w:r>
      <w:bookmarkStart w:id="2" w:name="_Ref168282808"/>
      <w:bookmarkStart w:id="3" w:name="_Toc384983057"/>
      <w:bookmarkEnd w:id="0"/>
      <w:bookmarkEnd w:id="1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Předmět</w:t>
      </w:r>
      <w:r w:rsidR="008066E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 smlouvy</w:t>
      </w:r>
      <w:bookmarkEnd w:id="2"/>
      <w:bookmarkEnd w:id="3"/>
    </w:p>
    <w:p w14:paraId="733F4865" w14:textId="6FE6AE65" w:rsidR="00F00E77" w:rsidRPr="001830DE" w:rsidRDefault="00F00E77" w:rsidP="00F00E77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Ref168374271"/>
      <w:r w:rsidRPr="0018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závazek prodávajícího </w:t>
      </w:r>
      <w:r w:rsidR="00751D53" w:rsidRPr="001830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odevzdat </w:t>
      </w:r>
      <w:r w:rsidRPr="001830DE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kupujícímu následující zboží:</w:t>
      </w:r>
    </w:p>
    <w:p w14:paraId="5DC934DD" w14:textId="77777777" w:rsidR="00F00E77" w:rsidRPr="001830DE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549292" w14:textId="15F1F9AC" w:rsidR="001830DE" w:rsidRPr="001830DE" w:rsidRDefault="00F70365" w:rsidP="00183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365">
        <w:rPr>
          <w:rFonts w:ascii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ks p</w:t>
      </w:r>
      <w:r w:rsidR="001830DE" w:rsidRPr="001830DE">
        <w:rPr>
          <w:rFonts w:ascii="Times New Roman" w:hAnsi="Times New Roman" w:cs="Times New Roman"/>
          <w:b/>
          <w:sz w:val="24"/>
          <w:szCs w:val="24"/>
        </w:rPr>
        <w:t>očítač</w:t>
      </w:r>
      <w:r>
        <w:rPr>
          <w:rFonts w:ascii="Times New Roman" w:hAnsi="Times New Roman" w:cs="Times New Roman"/>
          <w:b/>
          <w:sz w:val="24"/>
          <w:szCs w:val="24"/>
        </w:rPr>
        <w:t>ů</w:t>
      </w:r>
      <w:r w:rsidR="001830DE" w:rsidRPr="001830DE">
        <w:rPr>
          <w:rFonts w:ascii="Times New Roman" w:hAnsi="Times New Roman" w:cs="Times New Roman"/>
          <w:b/>
          <w:sz w:val="24"/>
          <w:szCs w:val="24"/>
        </w:rPr>
        <w:t xml:space="preserve"> a monitor</w:t>
      </w:r>
      <w:r>
        <w:rPr>
          <w:rFonts w:ascii="Times New Roman" w:hAnsi="Times New Roman" w:cs="Times New Roman"/>
          <w:b/>
          <w:sz w:val="24"/>
          <w:szCs w:val="24"/>
        </w:rPr>
        <w:t>ů</w:t>
      </w:r>
      <w:r w:rsidR="001830DE" w:rsidRPr="001830DE">
        <w:rPr>
          <w:rFonts w:ascii="Times New Roman" w:hAnsi="Times New Roman" w:cs="Times New Roman"/>
          <w:b/>
          <w:sz w:val="24"/>
          <w:szCs w:val="24"/>
        </w:rPr>
        <w:t xml:space="preserve"> s následujícími parametry:</w:t>
      </w:r>
    </w:p>
    <w:p w14:paraId="1687A0EA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4FB7C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0DE">
        <w:rPr>
          <w:rFonts w:ascii="Times New Roman" w:hAnsi="Times New Roman" w:cs="Times New Roman"/>
          <w:sz w:val="24"/>
          <w:szCs w:val="24"/>
          <w:u w:val="single"/>
        </w:rPr>
        <w:t>Počítače:</w:t>
      </w:r>
    </w:p>
    <w:p w14:paraId="47A0B304" w14:textId="43EE6F3E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Procesor Intel i5 nebo e</w:t>
      </w:r>
      <w:r w:rsidR="00F70365">
        <w:rPr>
          <w:rFonts w:ascii="Times New Roman" w:hAnsi="Times New Roman" w:cs="Times New Roman"/>
          <w:sz w:val="24"/>
          <w:szCs w:val="24"/>
        </w:rPr>
        <w:t>kv</w:t>
      </w:r>
      <w:bookmarkStart w:id="5" w:name="_GoBack"/>
      <w:bookmarkEnd w:id="5"/>
      <w:r w:rsidRPr="001830DE">
        <w:rPr>
          <w:rFonts w:ascii="Times New Roman" w:hAnsi="Times New Roman" w:cs="Times New Roman"/>
          <w:sz w:val="24"/>
          <w:szCs w:val="24"/>
        </w:rPr>
        <w:t>ivalent</w:t>
      </w:r>
    </w:p>
    <w:p w14:paraId="7B007ABD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Podpora vPro</w:t>
      </w:r>
    </w:p>
    <w:p w14:paraId="5C71A024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RAM min 16 GB</w:t>
      </w:r>
    </w:p>
    <w:p w14:paraId="0E196C1C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Grafika může být sdílená</w:t>
      </w:r>
    </w:p>
    <w:p w14:paraId="00551849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SSD min 512 GB</w:t>
      </w:r>
    </w:p>
    <w:p w14:paraId="5B915F24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W11 pro</w:t>
      </w:r>
    </w:p>
    <w:p w14:paraId="72FBD1E0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Case miditower</w:t>
      </w:r>
    </w:p>
    <w:p w14:paraId="41AF78E2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Klávesnice, myš</w:t>
      </w:r>
    </w:p>
    <w:p w14:paraId="03BD4F58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9A343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0DE">
        <w:rPr>
          <w:rFonts w:ascii="Times New Roman" w:hAnsi="Times New Roman" w:cs="Times New Roman"/>
          <w:sz w:val="24"/>
          <w:szCs w:val="24"/>
          <w:u w:val="single"/>
        </w:rPr>
        <w:t>Monitory:</w:t>
      </w:r>
    </w:p>
    <w:p w14:paraId="7118EEF8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lastRenderedPageBreak/>
        <w:t>Úhlopříčka min 27“</w:t>
      </w:r>
    </w:p>
    <w:p w14:paraId="649491AF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Rozlišení min QHD 2560 × 1440 (16:9)</w:t>
      </w:r>
    </w:p>
    <w:p w14:paraId="32A5CE80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Repro.</w:t>
      </w:r>
    </w:p>
    <w:p w14:paraId="1DEFDBDE" w14:textId="77777777" w:rsidR="001830DE" w:rsidRPr="001830DE" w:rsidRDefault="001830DE" w:rsidP="001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DE">
        <w:rPr>
          <w:rFonts w:ascii="Times New Roman" w:hAnsi="Times New Roman" w:cs="Times New Roman"/>
          <w:sz w:val="24"/>
          <w:szCs w:val="24"/>
        </w:rPr>
        <w:t>Nastavení výšky monitoru</w:t>
      </w:r>
    </w:p>
    <w:p w14:paraId="08FFE85B" w14:textId="77777777" w:rsidR="00F00E77" w:rsidRPr="001830DE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81905F" w14:textId="77777777" w:rsidR="00F00E77" w:rsidRDefault="00F00E77" w:rsidP="00F00E77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414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koupě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“),</w:t>
      </w:r>
    </w:p>
    <w:p w14:paraId="102425F5" w14:textId="77777777" w:rsidR="00F00E77" w:rsidRPr="00414AA8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D0DACE" w14:textId="13BD991F" w:rsidR="00F00E77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včetně dopravy do místa plnění dle čl. V. této smlouvy a závazek kupujícího za řádně a včas </w:t>
      </w:r>
      <w:r w:rsidR="00751D53">
        <w:rPr>
          <w:rFonts w:ascii="Times New Roman" w:eastAsia="Times New Roman" w:hAnsi="Times New Roman" w:cs="Times New Roman"/>
          <w:sz w:val="24"/>
          <w:szCs w:val="24"/>
          <w:lang w:eastAsia="cs-CZ"/>
        </w:rPr>
        <w:t>odevz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daný předmět koupě zaplatit kupní cenu dle čl. III. této smlouvy.</w:t>
      </w:r>
    </w:p>
    <w:p w14:paraId="4866F085" w14:textId="77777777" w:rsidR="00F00E77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5F66F" w14:textId="1E58B85B" w:rsidR="00F00E77" w:rsidRDefault="00F00E77" w:rsidP="00F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0E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koupě musí být nový, nerepasovaný, určený pro český trh a dodaný z oficiální české distribuce se zárukou pro Českou republiku. </w:t>
      </w:r>
    </w:p>
    <w:p w14:paraId="4CA54E74" w14:textId="1E31AE9C" w:rsidR="008066E8" w:rsidRDefault="008066E8" w:rsidP="00F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465DE" w14:textId="3795D2C1" w:rsidR="008066E8" w:rsidRDefault="008066E8" w:rsidP="008066E8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14E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 uzavřením této smlouvy zavazuje, že kupujícímu odevzdá předmět koupě a umožní mu k němu nabýt vlastnické právo a kupující se zavazuje, že předmět koupě řádně a včas dodaný převezme a zaplatí prodávajícímu kupní cenu.</w:t>
      </w:r>
    </w:p>
    <w:p w14:paraId="3CE16840" w14:textId="77777777" w:rsidR="008066E8" w:rsidRPr="00F00E77" w:rsidRDefault="008066E8" w:rsidP="00F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6BCB2E" w14:textId="77777777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6" w:name="_Ref168282942"/>
      <w:bookmarkStart w:id="7" w:name="_Toc384983058"/>
      <w:bookmarkEnd w:id="4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II. Termíny plnění</w:t>
      </w:r>
      <w:bookmarkEnd w:id="6"/>
      <w:bookmarkEnd w:id="7"/>
    </w:p>
    <w:p w14:paraId="315E68CC" w14:textId="1B1E14CA" w:rsidR="00F00E77" w:rsidRPr="00414AA8" w:rsidRDefault="00F00E77" w:rsidP="008066E8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" w:name="_Ref168544297"/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dohodly následující termín pro řádné </w:t>
      </w:r>
      <w:r w:rsidR="00751D53">
        <w:rPr>
          <w:rFonts w:ascii="Times New Roman" w:eastAsia="Times New Roman" w:hAnsi="Times New Roman" w:cs="Times New Roman"/>
          <w:sz w:val="24"/>
          <w:szCs w:val="24"/>
          <w:lang w:eastAsia="cs-CZ"/>
        </w:rPr>
        <w:t>odevz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dání předmětu koupě kupujícímu:</w:t>
      </w:r>
      <w:bookmarkEnd w:id="8"/>
    </w:p>
    <w:p w14:paraId="0DE71FB9" w14:textId="4A21CEC2" w:rsidR="00F00E77" w:rsidRPr="00414AA8" w:rsidRDefault="00751D53" w:rsidP="00F00E77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zbytečného odkladu</w:t>
      </w:r>
      <w:r w:rsidR="00F00E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podpisu této kupní smlouvy, 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</w:t>
      </w:r>
      <w:r w:rsidR="00F00E77" w:rsidRPr="00C671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0E77" w:rsidRPr="00C671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</w:t>
      </w:r>
      <w:r w:rsidR="00F00E77" w:rsidRPr="00414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671E5" w:rsidRPr="00190FDB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30</w:t>
      </w:r>
      <w:r w:rsidR="00C671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podpisu smlouvy.</w:t>
      </w:r>
    </w:p>
    <w:p w14:paraId="76B8A5DD" w14:textId="77777777" w:rsidR="00F00E77" w:rsidRPr="00414AA8" w:rsidRDefault="00F00E77" w:rsidP="00F00E77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C00F31" w14:textId="77777777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9" w:name="_Ref168544311"/>
      <w:r w:rsidRPr="00414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  <w:bookmarkEnd w:id="9"/>
      <w:r w:rsidRPr="00414A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Kupní cena</w:t>
      </w:r>
    </w:p>
    <w:p w14:paraId="771380AC" w14:textId="5420AC62" w:rsidR="00F00E77" w:rsidRPr="00A52D69" w:rsidRDefault="00F00E77" w:rsidP="00F00E77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" w:name="_Ref168545762"/>
      <w:r w:rsidRPr="00A52D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za předmět koupě činí: </w:t>
      </w:r>
    </w:p>
    <w:p w14:paraId="423C3754" w14:textId="77777777" w:rsidR="00F00E77" w:rsidRPr="00A52D69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2410"/>
        <w:gridCol w:w="1559"/>
        <w:gridCol w:w="1495"/>
      </w:tblGrid>
      <w:tr w:rsidR="00A52D69" w:rsidRPr="00A52D69" w14:paraId="77AF3E8E" w14:textId="77777777" w:rsidTr="00F07F14">
        <w:trPr>
          <w:trHeight w:val="435"/>
        </w:trPr>
        <w:tc>
          <w:tcPr>
            <w:tcW w:w="3618" w:type="dxa"/>
            <w:vAlign w:val="center"/>
          </w:tcPr>
          <w:p w14:paraId="2F8AC97F" w14:textId="77777777" w:rsidR="005A1CFB" w:rsidRPr="00A52D69" w:rsidRDefault="005A1CFB" w:rsidP="00F07F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60CF5F" w14:textId="77777777" w:rsidR="005A1CFB" w:rsidRPr="00A52D69" w:rsidRDefault="005A1CFB" w:rsidP="00F07F14">
            <w:pPr>
              <w:jc w:val="center"/>
              <w:rPr>
                <w:rFonts w:ascii="Arial" w:hAnsi="Arial" w:cs="Arial"/>
              </w:rPr>
            </w:pPr>
            <w:r w:rsidRPr="00A52D69">
              <w:rPr>
                <w:rFonts w:ascii="Arial" w:hAnsi="Arial" w:cs="Arial"/>
              </w:rPr>
              <w:t>Za všechny kusy sestav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05F3A" w14:textId="77777777" w:rsidR="005A1CFB" w:rsidRPr="00A52D69" w:rsidRDefault="005A1CFB" w:rsidP="00F07F14">
            <w:pPr>
              <w:jc w:val="center"/>
              <w:rPr>
                <w:rFonts w:ascii="Arial" w:hAnsi="Arial" w:cs="Arial"/>
              </w:rPr>
            </w:pPr>
            <w:r w:rsidRPr="00A52D69">
              <w:rPr>
                <w:rFonts w:ascii="Arial" w:hAnsi="Arial" w:cs="Arial"/>
              </w:rPr>
              <w:t>Za 1 ks PC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C522DAD" w14:textId="77777777" w:rsidR="005A1CFB" w:rsidRPr="00A52D69" w:rsidRDefault="005A1CFB" w:rsidP="00F07F14">
            <w:pPr>
              <w:jc w:val="center"/>
              <w:rPr>
                <w:rFonts w:ascii="Arial" w:hAnsi="Arial" w:cs="Arial"/>
              </w:rPr>
            </w:pPr>
            <w:r w:rsidRPr="00A52D69">
              <w:rPr>
                <w:rFonts w:ascii="Arial" w:hAnsi="Arial" w:cs="Arial"/>
              </w:rPr>
              <w:t>Za 1 ks monitoru</w:t>
            </w:r>
          </w:p>
        </w:tc>
      </w:tr>
      <w:tr w:rsidR="00A52D69" w:rsidRPr="00A52D69" w14:paraId="0DE25FF9" w14:textId="77777777" w:rsidTr="00F07F14">
        <w:trPr>
          <w:trHeight w:val="435"/>
        </w:trPr>
        <w:tc>
          <w:tcPr>
            <w:tcW w:w="3618" w:type="dxa"/>
            <w:vAlign w:val="center"/>
          </w:tcPr>
          <w:p w14:paraId="18FFBF68" w14:textId="77777777" w:rsidR="005A1CFB" w:rsidRPr="00A52D69" w:rsidRDefault="005A1CFB" w:rsidP="00F07F14">
            <w:pPr>
              <w:rPr>
                <w:rFonts w:ascii="Arial" w:hAnsi="Arial" w:cs="Arial"/>
              </w:rPr>
            </w:pPr>
            <w:r w:rsidRPr="00A52D69">
              <w:rPr>
                <w:rFonts w:ascii="Arial" w:hAnsi="Arial" w:cs="Arial"/>
              </w:rPr>
              <w:t xml:space="preserve">Nabídková cena v Kč bez DPH 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265EA8F6" w14:textId="77777777" w:rsidR="005A1CFB" w:rsidRPr="00A52D69" w:rsidRDefault="005A1CFB" w:rsidP="00F07F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1884B757" w14:textId="77777777" w:rsidR="005A1CFB" w:rsidRPr="00A52D69" w:rsidRDefault="005A1CFB" w:rsidP="00F07F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00"/>
            <w:vAlign w:val="center"/>
          </w:tcPr>
          <w:p w14:paraId="367A5382" w14:textId="77777777" w:rsidR="005A1CFB" w:rsidRPr="00A52D69" w:rsidRDefault="005A1CFB" w:rsidP="00F07F14">
            <w:pPr>
              <w:jc w:val="right"/>
              <w:rPr>
                <w:rFonts w:ascii="Arial" w:hAnsi="Arial" w:cs="Arial"/>
              </w:rPr>
            </w:pPr>
          </w:p>
        </w:tc>
      </w:tr>
      <w:tr w:rsidR="00A52D69" w:rsidRPr="00A52D69" w14:paraId="21E74AD4" w14:textId="77777777" w:rsidTr="00F07F14">
        <w:trPr>
          <w:trHeight w:val="435"/>
        </w:trPr>
        <w:tc>
          <w:tcPr>
            <w:tcW w:w="3618" w:type="dxa"/>
            <w:vAlign w:val="center"/>
          </w:tcPr>
          <w:p w14:paraId="40887A58" w14:textId="77777777" w:rsidR="005A1CFB" w:rsidRPr="00A52D69" w:rsidRDefault="005A1CFB" w:rsidP="00F07F14">
            <w:pPr>
              <w:rPr>
                <w:rFonts w:ascii="Arial" w:hAnsi="Arial" w:cs="Arial"/>
              </w:rPr>
            </w:pPr>
            <w:r w:rsidRPr="00A52D69">
              <w:rPr>
                <w:rFonts w:ascii="Arial" w:hAnsi="Arial" w:cs="Arial"/>
              </w:rPr>
              <w:t xml:space="preserve">DPH v sazbě </w:t>
            </w:r>
            <w:r w:rsidRPr="00A52D69">
              <w:rPr>
                <w:rFonts w:ascii="Arial" w:hAnsi="Arial" w:cs="Arial"/>
                <w:highlight w:val="yellow"/>
              </w:rPr>
              <w:t>…</w:t>
            </w:r>
            <w:r w:rsidRPr="00A52D69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4ECA6639" w14:textId="77777777" w:rsidR="005A1CFB" w:rsidRPr="00A52D69" w:rsidRDefault="005A1CFB" w:rsidP="00F07F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45C073E5" w14:textId="77777777" w:rsidR="005A1CFB" w:rsidRPr="00A52D69" w:rsidRDefault="005A1CFB" w:rsidP="00F07F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00"/>
            <w:vAlign w:val="center"/>
          </w:tcPr>
          <w:p w14:paraId="032AF435" w14:textId="77777777" w:rsidR="005A1CFB" w:rsidRPr="00A52D69" w:rsidRDefault="005A1CFB" w:rsidP="00F07F14">
            <w:pPr>
              <w:jc w:val="right"/>
              <w:rPr>
                <w:rFonts w:ascii="Arial" w:hAnsi="Arial" w:cs="Arial"/>
              </w:rPr>
            </w:pPr>
          </w:p>
        </w:tc>
      </w:tr>
      <w:tr w:rsidR="00A52D69" w:rsidRPr="00A52D69" w14:paraId="63B11DC1" w14:textId="77777777" w:rsidTr="00F07F14">
        <w:trPr>
          <w:trHeight w:val="435"/>
        </w:trPr>
        <w:tc>
          <w:tcPr>
            <w:tcW w:w="3618" w:type="dxa"/>
            <w:vAlign w:val="center"/>
          </w:tcPr>
          <w:p w14:paraId="412E7BFD" w14:textId="77777777" w:rsidR="005A1CFB" w:rsidRPr="00A52D69" w:rsidRDefault="005A1CFB" w:rsidP="00F07F14">
            <w:pPr>
              <w:rPr>
                <w:rFonts w:ascii="Arial" w:hAnsi="Arial" w:cs="Arial"/>
              </w:rPr>
            </w:pPr>
            <w:r w:rsidRPr="00A52D69">
              <w:rPr>
                <w:rFonts w:ascii="Arial" w:hAnsi="Arial" w:cs="Arial"/>
              </w:rPr>
              <w:t>Nabídková cena v Kč včetně DPH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2F5762A4" w14:textId="77777777" w:rsidR="005A1CFB" w:rsidRPr="00A52D69" w:rsidRDefault="005A1CFB" w:rsidP="00F07F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466FFD3A" w14:textId="77777777" w:rsidR="005A1CFB" w:rsidRPr="00A52D69" w:rsidRDefault="005A1CFB" w:rsidP="00F07F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FFFF00"/>
            <w:vAlign w:val="center"/>
          </w:tcPr>
          <w:p w14:paraId="51527721" w14:textId="77777777" w:rsidR="005A1CFB" w:rsidRPr="00A52D69" w:rsidRDefault="005A1CFB" w:rsidP="00F07F1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9C6FE25" w14:textId="77777777" w:rsidR="00F00E77" w:rsidRPr="00A52D69" w:rsidRDefault="00F00E77" w:rsidP="00A17021">
      <w:pPr>
        <w:pStyle w:val="Odstavecseseznamem"/>
        <w:tabs>
          <w:tab w:val="right" w:pos="609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CBFC2B" w14:textId="77777777" w:rsidR="00F00E77" w:rsidRPr="00414AA8" w:rsidRDefault="00F00E77" w:rsidP="00F00E77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D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Ceny uvedené v tomto článku smlouvy jsou uvedeny jako ceny bez DPH a s DPH ve výši platné ke dni uzavření smlouvy. Dojde-li ke změně sazby DPH, bude DPH účtována podle právních předpisů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platných v době uskutečnění zdanitelného plnění. Takováto změna ceny není důvodem k uzavření dodatku k této smlouvě.</w:t>
      </w:r>
    </w:p>
    <w:p w14:paraId="3795C27B" w14:textId="489B8539" w:rsidR="00F00E77" w:rsidRDefault="00F00E77" w:rsidP="00F00E77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Nárok na úhradu kupní ceny vzniká prodávajícímu okamžikem řádného </w:t>
      </w:r>
      <w:r w:rsidR="00696C8B">
        <w:rPr>
          <w:rFonts w:ascii="Times New Roman" w:eastAsia="Times New Roman" w:hAnsi="Times New Roman" w:cs="Times New Roman"/>
          <w:sz w:val="24"/>
          <w:szCs w:val="24"/>
          <w:lang w:eastAsia="cs-CZ"/>
        </w:rPr>
        <w:t>odevz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dání předmětu koupě kupujícímu</w:t>
      </w:r>
      <w:r w:rsidR="00696C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místě plnění podle čl. V. této smlouvy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C132AA" w14:textId="69620235" w:rsidR="008066E8" w:rsidRDefault="008066E8" w:rsidP="00F00E77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6E8">
        <w:rPr>
          <w:rFonts w:ascii="Times New Roman" w:eastAsia="Times New Roman" w:hAnsi="Times New Roman" w:cs="Times New Roman"/>
          <w:sz w:val="24"/>
          <w:szCs w:val="24"/>
          <w:lang w:eastAsia="cs-CZ"/>
        </w:rPr>
        <w:t>Kupní cena uvedená v odstavci 1 tohoto článku zahrnuje veškeré náklady prodávajícího nezbytné k řádnému a včasnému dodání předmětu koupě, včetně nákladů souvisejících, jakož i náklady na provedení ostatních činností, prací a dodávek, které jsou k řádnému naplnění účelu a předmětu této smlouvy nezbytné.</w:t>
      </w:r>
    </w:p>
    <w:p w14:paraId="3F7C6669" w14:textId="0C56A80D" w:rsidR="008066E8" w:rsidRPr="00414AA8" w:rsidRDefault="008066E8" w:rsidP="0018160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52BFC1" w14:textId="77777777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1" w:name="_Ref168377650"/>
      <w:bookmarkStart w:id="12" w:name="_Toc384983060"/>
      <w:bookmarkEnd w:id="10"/>
      <w:r w:rsidRPr="00414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 Platební podmínky</w:t>
      </w:r>
      <w:bookmarkEnd w:id="11"/>
      <w:bookmarkEnd w:id="12"/>
    </w:p>
    <w:p w14:paraId="094A5740" w14:textId="68C3846B" w:rsidR="003A463B" w:rsidRDefault="003A463B" w:rsidP="00F00E77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63B">
        <w:rPr>
          <w:rFonts w:ascii="Times New Roman" w:eastAsia="Times New Roman" w:hAnsi="Times New Roman" w:cs="Times New Roman"/>
          <w:sz w:val="24"/>
          <w:szCs w:val="24"/>
          <w:lang w:eastAsia="cs-CZ"/>
        </w:rPr>
        <w:t>Kupní cena bude kupujícím uhrazena jedinou platbou na základě daňového dokladu - faktury vystavené prodávajícím.</w:t>
      </w:r>
    </w:p>
    <w:p w14:paraId="0C930524" w14:textId="35AC6A04" w:rsidR="00F00E77" w:rsidRDefault="003A463B" w:rsidP="00F00E77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63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Prodávající je oprávněn vystavit fakturu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o řádném dodání a předání předmětu koupě. Splatnost faktury je minimálně 1 měsíc od doručení faktury do sídla kupujícího. Zálohu kupující neposkytuje. Faktura - daňový doklad musí mít náležitosti daňového dokladu dle zákona č. 235/2004 Sb., o dani z přidané hodnoty, v platném znění. V případě, že účetní doklad nebude mít odpovídající náležitosti, je kupující oprávněn zaslat ho ve lhůtě splatnosti zpět prodávajícímu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opravě či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 doplnění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Do doby vystavení nové faktury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není v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placením příslušné faktury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; lhůta splatnosti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 faktury obsahující všechny náležitosti v délce 1 měsíc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počíná běžet 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doručení této faktury kupujícímu</w:t>
      </w:r>
      <w:r w:rsidR="00F00E77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C3C0FF" w14:textId="6B308D66" w:rsidR="003A463B" w:rsidRPr="00414AA8" w:rsidRDefault="003A463B" w:rsidP="00F00E77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63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Přílohou faktury musí být kopie předávacího protokolu, případně protokolu o odstranění vad a nedodělků, podepsaného oběma smluvními stranami, ze kterého musí být patrné, že předmět koupě byl předán a převzat řádně, tj. bez veškerých vad a nedodělků.</w:t>
      </w:r>
    </w:p>
    <w:p w14:paraId="7F38E820" w14:textId="27021954" w:rsidR="00F00E77" w:rsidRDefault="00F00E77" w:rsidP="00F00E77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3" w:name="_Ref168547174"/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 </w:t>
      </w:r>
      <w:bookmarkEnd w:id="13"/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uhradit kupní cenu je splněna dnem odepsání příslušné finanční částky z účtu kupujícího. </w:t>
      </w:r>
    </w:p>
    <w:p w14:paraId="169284DF" w14:textId="07EC45D2" w:rsidR="003A463B" w:rsidRDefault="003A463B" w:rsidP="00F00E77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63B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bude kupujícím provedena bankovním převodem na účet prodávajícího uvedený v záhlaví této smlouvy.</w:t>
      </w:r>
    </w:p>
    <w:p w14:paraId="0E3F4F80" w14:textId="38A6A664" w:rsidR="003A463B" w:rsidRDefault="003A463B" w:rsidP="00F00E77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63B">
        <w:rPr>
          <w:rFonts w:ascii="Times New Roman" w:eastAsia="Times New Roman" w:hAnsi="Times New Roman" w:cs="Times New Roman"/>
          <w:sz w:val="24"/>
          <w:szCs w:val="24"/>
          <w:lang w:eastAsia="cs-CZ"/>
        </w:rPr>
        <w:t>Stane-li se prodávající nespolehlivým plátcem ve smyslu § 106a zákona č. 235/2004 Sb., o dani z přidané hodnoty, ve znění pozdějších předpisů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také jako „</w:t>
      </w:r>
      <w:r w:rsidRPr="00B21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 o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3A463B">
        <w:rPr>
          <w:rFonts w:ascii="Times New Roman" w:eastAsia="Times New Roman" w:hAnsi="Times New Roman" w:cs="Times New Roman"/>
          <w:sz w:val="24"/>
          <w:szCs w:val="24"/>
          <w:lang w:eastAsia="cs-CZ"/>
        </w:rPr>
        <w:t>), je povinen neprodleně o tomto informovat kupujícího.</w:t>
      </w:r>
    </w:p>
    <w:p w14:paraId="28703E87" w14:textId="6329C73A" w:rsidR="003A463B" w:rsidRPr="00414AA8" w:rsidRDefault="003A463B" w:rsidP="00F00E77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63B">
        <w:rPr>
          <w:rFonts w:ascii="Times New Roman" w:eastAsia="Times New Roman" w:hAnsi="Times New Roman" w:cs="Times New Roman"/>
          <w:sz w:val="24"/>
          <w:szCs w:val="24"/>
          <w:lang w:eastAsia="cs-CZ"/>
        </w:rPr>
        <w:t>Bude-li prodávající ke dni poskytnutí zdanitelného plnění veden jako nespolehlivý plátce ve smyslu § 106 zákona o DPH, je kupující oprávněn část kupní ceny odpovídající dani z přidané hodnoty uhradit přímo na účet správce daně v souladu s § 109a zákona o DPH.</w:t>
      </w:r>
    </w:p>
    <w:p w14:paraId="452E20B7" w14:textId="77777777" w:rsidR="00F00E77" w:rsidRPr="00414AA8" w:rsidRDefault="00F00E77" w:rsidP="00F00E77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  </w:t>
      </w:r>
    </w:p>
    <w:p w14:paraId="15A9E785" w14:textId="77777777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14" w:name="_Ref168548140"/>
      <w:bookmarkStart w:id="15" w:name="_Toc384983062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V. Místo a způsob plnění</w:t>
      </w:r>
      <w:bookmarkEnd w:id="14"/>
      <w:bookmarkEnd w:id="15"/>
    </w:p>
    <w:p w14:paraId="3223A765" w14:textId="77777777" w:rsidR="00F00E77" w:rsidRPr="00414AA8" w:rsidRDefault="00F00E77" w:rsidP="00F00E7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Místo plnění: </w:t>
      </w:r>
      <w:r w:rsidRPr="00414A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x-none"/>
        </w:rPr>
        <w:t xml:space="preserve">Městský úřad Kolín,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x-none"/>
        </w:rPr>
        <w:t>Karlovo náměstí 78</w:t>
      </w:r>
      <w:r w:rsidRPr="00414A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x-none"/>
        </w:rPr>
        <w:t>, Kolín I</w:t>
      </w: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.</w:t>
      </w:r>
    </w:p>
    <w:p w14:paraId="1CD98B82" w14:textId="10952AAE" w:rsidR="00F00E77" w:rsidRPr="00414AA8" w:rsidRDefault="00F00E77" w:rsidP="00F00E7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Řádným dodáním předmětu koupě se rozumí jeho včasné dodání do místa plnění v požadovaném množství a kvalitě bez jakýchkoliv vad a jeho převzetí kupujícím.</w:t>
      </w:r>
    </w:p>
    <w:p w14:paraId="60C9CE72" w14:textId="77777777" w:rsidR="00F00E77" w:rsidRPr="00414AA8" w:rsidRDefault="00F00E77" w:rsidP="00F00E7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Doprava předmětu koupě do místa plnění je zahrnuta v kupní ceně dle čl. III. této smlouvy. </w:t>
      </w:r>
    </w:p>
    <w:p w14:paraId="3901CB8C" w14:textId="77777777" w:rsidR="00F00E77" w:rsidRPr="00414AA8" w:rsidRDefault="00F00E77" w:rsidP="00F00E7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Prodávající se zavazuje, že předmět koupě odpovídá platným právním předpisům a technickým normám. </w:t>
      </w:r>
    </w:p>
    <w:p w14:paraId="14EA956D" w14:textId="72367EE7" w:rsidR="00F00E77" w:rsidRDefault="00F00E77" w:rsidP="00F00E7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Nejpozději současně s předáním předmětu koupě je prodávající povinen kupujícímu předat: a) veškeré doklady k předmětu koupě s řádně vepsanými údaji nezbytnými k provozování předmětu koupě, zejména technické a záruční listy b) veškeré návody k obsluze v českém jazyce a prohlášení o shodě v českém jazyce, c) odpovídající technickou dokumentaci, d) příslušné doklady prokazující kvalitu a schválení pro užívání v České republice, e) příslušné atesty a certifikáty.</w:t>
      </w:r>
    </w:p>
    <w:p w14:paraId="2FAF4F37" w14:textId="6F528D39" w:rsidR="004167C3" w:rsidRPr="00414AA8" w:rsidRDefault="004167C3" w:rsidP="00F00E77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67C3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O předání a převzetí předmětu koupě bude sepsán předávací protokol, který smluvní strany pořídí s tím, že každá ze smluvních stran podepíše a obdrží jedno vyhotovení. Kupující není povinen převzít předmět koupě vykazující vady, a to ani v případě, jedná-li se o vady, které neomezují funkčnost předmětu koupě, nebo které samy o sobě ani ve spojení s jinými nebrání užívání předmětu koupě.</w:t>
      </w:r>
    </w:p>
    <w:p w14:paraId="067328BB" w14:textId="77777777" w:rsidR="00F00E77" w:rsidRPr="00414AA8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</w:p>
    <w:p w14:paraId="0AEE2EE8" w14:textId="77777777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16" w:name="_Ref168548340"/>
      <w:bookmarkStart w:id="17" w:name="_Toc384983063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VI. Přechod vlastnictví a nebezpečí škody</w:t>
      </w:r>
      <w:bookmarkEnd w:id="16"/>
      <w:bookmarkEnd w:id="17"/>
    </w:p>
    <w:p w14:paraId="6E8A2AC2" w14:textId="77777777" w:rsidR="00F00E77" w:rsidRPr="00414AA8" w:rsidRDefault="00F00E77" w:rsidP="00F00E77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Vlastnické právo k předmětu koupě přechází na kupujícího v okamžiku jeho převzetí kupujícím.</w:t>
      </w:r>
    </w:p>
    <w:p w14:paraId="45974252" w14:textId="77777777" w:rsidR="00F00E77" w:rsidRPr="00414AA8" w:rsidRDefault="00F00E77" w:rsidP="00F00E77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Nebezpečí vzniku nahodilé škody na předmětu koupě přechází na kupujícího v okamžiku jeho řádného dodání a převzetí kupujícím. </w:t>
      </w:r>
    </w:p>
    <w:p w14:paraId="56D828B7" w14:textId="77777777" w:rsidR="00F00E77" w:rsidRPr="00414AA8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</w:p>
    <w:p w14:paraId="3D9EE805" w14:textId="77777777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18" w:name="_Ref168553221"/>
      <w:bookmarkStart w:id="19" w:name="_Toc384983066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VII. Odpovědnost za škodu</w:t>
      </w:r>
      <w:bookmarkEnd w:id="18"/>
      <w:bookmarkEnd w:id="19"/>
    </w:p>
    <w:p w14:paraId="1437E51B" w14:textId="77777777" w:rsidR="00F00E77" w:rsidRPr="00414AA8" w:rsidRDefault="00F00E77" w:rsidP="00F00E77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bookmarkStart w:id="20" w:name="_Ref167877587"/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Prodávající odpovídá kupujícímu za škodu, způsobenou porušením povinností vyplývajících z této smlouvy nebo z obecně závazného právního předpisu.</w:t>
      </w:r>
      <w:bookmarkEnd w:id="20"/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 </w:t>
      </w:r>
    </w:p>
    <w:p w14:paraId="3F5CF5C1" w14:textId="77777777" w:rsidR="00F00E77" w:rsidRPr="00414AA8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</w:p>
    <w:p w14:paraId="6C4CC8C0" w14:textId="186DA99C" w:rsidR="00F00E77" w:rsidRPr="00414AA8" w:rsidRDefault="00F00E77" w:rsidP="00F00E77">
      <w:pPr>
        <w:keepNext/>
        <w:keepLines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21" w:name="_Ref168553444"/>
      <w:bookmarkStart w:id="22" w:name="_Toc384983067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VIII. Záruka</w:t>
      </w:r>
      <w:bookmarkEnd w:id="21"/>
      <w:bookmarkEnd w:id="22"/>
      <w:r w:rsidR="004167C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 </w:t>
      </w:r>
      <w:r w:rsidR="004167C3" w:rsidRPr="004167C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a odpovědnost za vady předmětu koupě</w:t>
      </w:r>
    </w:p>
    <w:p w14:paraId="58BE4D35" w14:textId="77777777" w:rsidR="00F00E77" w:rsidRPr="00414AA8" w:rsidRDefault="00F00E77" w:rsidP="00F00E77">
      <w:pPr>
        <w:pStyle w:val="Odstavecseseznamem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3" w:name="_Toc384983068"/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poskytuje ve smyslu § 2113 občanského zákoníku kupujícímu záruku za jakost předmětu koupě spočívající v tom, že předmět koupě, jakož i jeho veškeré součásti i příslušenství budou po záruční dobu způsobilé pro použití k obvyklým účelům a zachovají si obvyklé vlastnosti, jakož i vlastnosti stanovené touto smlouvu, příslušnými právními předpisy či normami. </w:t>
      </w:r>
    </w:p>
    <w:p w14:paraId="17A4D3FB" w14:textId="77777777" w:rsidR="00F00E77" w:rsidRPr="00414AA8" w:rsidRDefault="00F00E77" w:rsidP="00F00E77">
      <w:pPr>
        <w:pStyle w:val="Odstavecseseznamem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Vadou se rozumí odchylka od množství, jakosti či provedení předmětu koupě stanovených touto smlouvou nebo technickými normami či jinými obecně závaznými právními předpisy. Prodávající odpovídá za vady zjevné, skryté i právní, které má předmět koupě (případně jeho část) v době jeho předání kupujícímu a dále za ty, které se na předmětu koupě vyskytnou v záruční době uvedené v odstavci 3 tohoto článku. </w:t>
      </w:r>
    </w:p>
    <w:p w14:paraId="296502FA" w14:textId="0720CFAA" w:rsidR="00F00E77" w:rsidRPr="00376346" w:rsidRDefault="00F00E77" w:rsidP="00F00E77">
      <w:pPr>
        <w:pStyle w:val="Odstavecseseznamem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záruční doba předmětu koupě je </w:t>
      </w:r>
      <w:r w:rsidR="00376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smluvními stranami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sjednána v délce</w:t>
      </w:r>
      <w:r w:rsidRPr="00414AA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97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977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B214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měsíců</w:t>
      </w:r>
      <w:r w:rsidR="00376346" w:rsidRPr="00B214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Záruční doba počíná běžet</w:t>
      </w:r>
      <w:r w:rsidRPr="003763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ode dne </w:t>
      </w:r>
      <w:r w:rsidR="00376346" w:rsidRPr="003763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podpisu protokolu o </w:t>
      </w:r>
      <w:r w:rsidRPr="003763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předání předmětu koupě bez jakýchkoliv vad kupujícímu</w:t>
      </w:r>
      <w:r w:rsidR="003763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376346" w:rsidRPr="003763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případně ode dne podpisu protokolu o odstranění vad a nedodělků, podepsaného oběma smluvními stranami</w:t>
      </w:r>
      <w:r w:rsidRPr="003763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00923B0F" w14:textId="77777777" w:rsidR="00F00E77" w:rsidRPr="00414AA8" w:rsidRDefault="00F00E77" w:rsidP="00F00E77">
      <w:pPr>
        <w:pStyle w:val="Odstavecseseznamem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Reklamaci lze uplatnit nejpozději do posledního dne záruční doby, přičemž reklamace odeslaná kupujícím v poslední den záruční doby se považuje za včas uplatněnou. Reklamaci je kupující oprávněn učinit písemně či prostým emailem bez zaručeného elektronického podpisu.</w:t>
      </w:r>
    </w:p>
    <w:p w14:paraId="04F06886" w14:textId="2B7CBC03" w:rsidR="00F00E77" w:rsidRPr="00414AA8" w:rsidRDefault="00F00E77" w:rsidP="00F00E77">
      <w:pPr>
        <w:pStyle w:val="Odstavecseseznamem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Reklamovaná vada předmětu koupě musí být odstraněna ve lhůtě odpovídající povaze vady, nejpozději však do </w:t>
      </w:r>
      <w:r w:rsidR="00C671E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dnů od nahlášení vady kupujícím, nedohodnou-li se smluvní strany pro konkrétní případ písemně jinak. V případě, že prodávající vadu neodstraní řádně a včas, je kupující oprávněn </w:t>
      </w:r>
      <w:r w:rsidR="00376346">
        <w:rPr>
          <w:rFonts w:ascii="Times New Roman" w:eastAsia="Times New Roman" w:hAnsi="Times New Roman" w:cs="Times New Roman"/>
          <w:sz w:val="24"/>
          <w:szCs w:val="24"/>
          <w:lang w:eastAsia="cs-CZ"/>
        </w:rPr>
        <w:t>od této smlouvy odstoupit.</w:t>
      </w:r>
    </w:p>
    <w:p w14:paraId="15E68765" w14:textId="77777777" w:rsidR="00F00E77" w:rsidRPr="00414AA8" w:rsidRDefault="00F00E77" w:rsidP="00F00E77">
      <w:pPr>
        <w:pStyle w:val="Odstavecseseznamem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provedení a/nebo zajištění veškerých úkonů vyplývajících z poskytnuté záruky za jakost (zejména náklady na dopravu, náklady na náhradní díly atd.) nese prodávající, který není oprávněn účtovat kupujícímu z tohoto titulu jakékoliv platby.</w:t>
      </w:r>
    </w:p>
    <w:p w14:paraId="47E4DAD5" w14:textId="77777777" w:rsidR="00F00E77" w:rsidRPr="00414AA8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ABED3C" w14:textId="07478ED9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IX. Prodlení, </w:t>
      </w:r>
      <w:bookmarkEnd w:id="23"/>
      <w:r w:rsidR="00423926"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s</w:t>
      </w:r>
      <w:r w:rsidR="004239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mluvní pokuty a odstoupení od smlouvy</w:t>
      </w:r>
    </w:p>
    <w:p w14:paraId="700019E0" w14:textId="695310F3" w:rsidR="00F00E77" w:rsidRPr="00B214EB" w:rsidRDefault="00F00E77" w:rsidP="00F00E77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Je-li prodávající v prodlení s dodáním předmětu koupě, </w:t>
      </w:r>
      <w:r w:rsidR="00F63CFB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se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zaplatit kupujícímu smluvní pokutu v</w:t>
      </w:r>
      <w:r w:rsidR="00F63CFB">
        <w:rPr>
          <w:rFonts w:ascii="Times New Roman" w:eastAsia="Times New Roman" w:hAnsi="Times New Roman" w:cs="Times New Roman"/>
          <w:sz w:val="24"/>
          <w:szCs w:val="24"/>
          <w:lang w:eastAsia="cs-CZ"/>
        </w:rPr>
        <w:t>e výši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2CA1"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4</w:t>
      </w:r>
      <w:r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00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za každý den prodlení. Úhradou smluvní pokuty není dotčen nárok kupujícího na náhradu škody v plné výši.</w:t>
      </w:r>
    </w:p>
    <w:p w14:paraId="22D9AA53" w14:textId="50654C91" w:rsidR="00042CA1" w:rsidRPr="00B214EB" w:rsidRDefault="00042CA1" w:rsidP="00B214EB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042CA1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Za nesplnění termínu odstranění záručních vad a nedodělků předmětu koupě smlouvy má kupující právo požadovat po prodávajícím smluvní pokutu ve výši </w:t>
      </w:r>
      <w:r w:rsidRPr="003E642A"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eastAsia="x-none"/>
        </w:rPr>
        <w:t>300</w:t>
      </w:r>
      <w:r w:rsidRPr="00042CA1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 Kč za každý započatý den prodlení za každou jednotlivou vadu či nedodělek.</w:t>
      </w:r>
    </w:p>
    <w:p w14:paraId="435F1E12" w14:textId="516ECAB3" w:rsidR="00042CA1" w:rsidRPr="00B214EB" w:rsidRDefault="00042CA1" w:rsidP="00B214EB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042CA1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Smluvní pokuta je splatná do 10 kalendářních dnů ode dne doručení výzvy k úhradě smluvní pokuty.</w:t>
      </w:r>
    </w:p>
    <w:p w14:paraId="336C25AF" w14:textId="3D98D383" w:rsidR="00042CA1" w:rsidRDefault="00042CA1" w:rsidP="00F00E77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042CA1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Úhradou smluvní pokuty dle tohoto článku smlouvy není dotčeno právo kupujícího na náhradu škody vzniklé z porušení povinnosti, ke kterému se smluvní pokuta vztahuje, v plné výši.</w:t>
      </w:r>
    </w:p>
    <w:p w14:paraId="4EEDAB26" w14:textId="77777777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24" w:name="_Ref168554426"/>
      <w:bookmarkStart w:id="25" w:name="_Toc384983069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X. Platnost, odstoupení a zánik smlouvy</w:t>
      </w:r>
      <w:bookmarkEnd w:id="24"/>
      <w:bookmarkEnd w:id="25"/>
    </w:p>
    <w:p w14:paraId="0ECBA58D" w14:textId="0A55E2B3" w:rsidR="00F00E77" w:rsidRPr="00414AA8" w:rsidRDefault="00F00E77" w:rsidP="00F00E77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6" w:name="_Ref168554457"/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dnem </w:t>
      </w:r>
      <w:r w:rsidR="00AE02EC">
        <w:rPr>
          <w:rFonts w:ascii="Times New Roman" w:eastAsia="Times New Roman" w:hAnsi="Times New Roman" w:cs="Times New Roman"/>
          <w:sz w:val="24"/>
          <w:szCs w:val="24"/>
          <w:lang w:eastAsia="cs-CZ"/>
        </w:rPr>
        <w:t>jejího uzavření smluvními stranami a účinnosti dnem jejího uveřejnění v registru smluv.</w:t>
      </w:r>
    </w:p>
    <w:p w14:paraId="359AD669" w14:textId="3922FF04" w:rsidR="00F00E77" w:rsidRDefault="00F00E77" w:rsidP="00F00E77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7" w:name="_Ref168554648"/>
      <w:bookmarkEnd w:id="26"/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zavazují nepostoupit závazky nebo pohledávky z této smlouvy třetí osobě bez písemného souhlasu druhé smluvní strany.</w:t>
      </w:r>
      <w:bookmarkEnd w:id="27"/>
    </w:p>
    <w:p w14:paraId="0E9E17F2" w14:textId="032A1009" w:rsidR="00AE02EC" w:rsidRDefault="00AE02EC" w:rsidP="00F00E77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2E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podléhá uveřejnění v registru smluv dle zákona č. 340/2015 Sb., o zvláštních podmínkách účinnosti některých smluv, uveřejňování těchto smluv a o registru smluv (zákon o registru smluv)</w:t>
      </w:r>
      <w:r w:rsidR="0097723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E0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jen: „registr smluv“). Smluvní strany se dohodly, že smlouvu v souladu s tímto zákonem uveřejní město Kolín, a to nejpozději do 30 dnů od podpisu smlouvy. Toto ujednání však nebrání tomu, aby smlouvu zveřejnil i smluvní partner města Kolína. Po uveřejnění v registru smluv </w:t>
      </w:r>
      <w:r w:rsidRPr="00AE02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obdrží smluvní partner města Kolína do datové schránky</w:t>
      </w:r>
      <w:r w:rsidR="001816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02EC">
        <w:rPr>
          <w:rFonts w:ascii="Times New Roman" w:eastAsia="Times New Roman" w:hAnsi="Times New Roman" w:cs="Times New Roman"/>
          <w:sz w:val="24"/>
          <w:szCs w:val="24"/>
          <w:lang w:eastAsia="cs-CZ"/>
        </w:rPr>
        <w:t>nebo v případě neexistence datové schránky e-mailem potvrzení od správce registru smluv. Potvrzení obsahuje metadata a je ve formátu .pdf, označeno uznávanou elektronickou značkou a opatřeno kvalifikovaným časovým razítkem. Smluvní strany se dohodly, že smluvní partner města Kolína nebude, kromě potvrzení o uveřejnění smlouvy v registru smluv od správce registru smluv, nijak dále o této skutečnosti informován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E838F5" w14:textId="33FBF646" w:rsidR="00AE02EC" w:rsidRDefault="00AE02EC" w:rsidP="00F00E77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2E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dále výslovně souhlasí s tím, aby tato smlouva byla uvedena v přehledu nazvaném „Přehled smluv“ vedeném městem Kolín, který obsahuje údaje o smluvní straně, datum uzavření smlouvy, předmětu smlouvy a výše plnění. Smluvní strany dále výslovně souhlasí s tím, že tato smlouva může být bez jakéhokoliv omezení zveřejněna jak na oficiálních webových stránkách města Kolín, tak i v registru smluv, a to včetně všech případných příloh a dodatků. Smluvní strany prohlašují, že skutečnosti uvedené v této smlouvě nepovažují za obchodní tajemství ve smyslu příslušných ustanovení právních předpisů a udělují svolení k jejich užití a zveřejnění bez jakýchkoliv dalších podmínek.</w:t>
      </w:r>
    </w:p>
    <w:p w14:paraId="23DFF9CD" w14:textId="77777777" w:rsidR="00AE02EC" w:rsidRPr="00AE02EC" w:rsidRDefault="00AE02EC" w:rsidP="00B214EB">
      <w:pPr>
        <w:pStyle w:val="Odstavecseseznamem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2EC">
        <w:rPr>
          <w:rFonts w:ascii="Times New Roman" w:eastAsia="Times New Roman" w:hAnsi="Times New Roman" w:cs="Times New Roman"/>
          <w:sz w:val="24"/>
          <w:szCs w:val="24"/>
          <w:lang w:eastAsia="cs-CZ"/>
        </w:rPr>
        <w:t>Od této smlouvy může odstoupit kterákoliv smluvní strana z důvodu podstatného porušení této smlouvy druhou smluvní stranou. Právní účinky odstoupení od smlouvy nastávají dnem doručení oznámení o odstoupení druhé smluvní straně, přičemž jednotlivé smluvní závazky plynoucí z této kupní smlouvy se zrušují od počátku s výjimkou těch, které se dle občanského zákoníku nezrušují (např. právo na náhradu škody, právo na zaplacení smluvní pokuty nebo úroku z prodlení).</w:t>
      </w:r>
    </w:p>
    <w:p w14:paraId="627EF374" w14:textId="77777777" w:rsidR="00AE02EC" w:rsidRPr="00AE02EC" w:rsidRDefault="00AE02EC" w:rsidP="00B214EB">
      <w:pPr>
        <w:pStyle w:val="Odstavecseseznamem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2EC"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smlouvy ze strany prodávajícího s právem kupujícího odstoupit od této smlouvy se považuje zejména nedodržení sjednaného termínu dodání předmětu koupě o více než 30 kalendářních dnů.</w:t>
      </w:r>
    </w:p>
    <w:p w14:paraId="6423A66E" w14:textId="77777777" w:rsidR="00AE02EC" w:rsidRPr="00414AA8" w:rsidRDefault="00AE02EC" w:rsidP="0018160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6561F" w14:textId="77777777" w:rsidR="00F00E77" w:rsidRPr="00414AA8" w:rsidRDefault="00F00E77" w:rsidP="00F0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92B7DD" w14:textId="77777777" w:rsidR="00F00E77" w:rsidRPr="00414AA8" w:rsidRDefault="00F00E77" w:rsidP="00F00E77">
      <w:pPr>
        <w:keepNext/>
        <w:keepLines/>
        <w:tabs>
          <w:tab w:val="num" w:pos="708"/>
        </w:tabs>
        <w:spacing w:before="360" w:after="24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28" w:name="_Ref168547770"/>
      <w:bookmarkStart w:id="29" w:name="_Toc384983061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XI. </w:t>
      </w:r>
      <w:bookmarkEnd w:id="28"/>
      <w:bookmarkEnd w:id="29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Kontaktní osoby</w:t>
      </w:r>
    </w:p>
    <w:p w14:paraId="39A4402C" w14:textId="77777777" w:rsidR="00F00E77" w:rsidRPr="00414AA8" w:rsidRDefault="00F00E77" w:rsidP="00F00E77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0" w:name="_Ref168547864"/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osoby</w:t>
      </w:r>
      <w:bookmarkEnd w:id="3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D3EBC3C" w14:textId="643DAB00" w:rsidR="00F00E77" w:rsidRDefault="00F00E77" w:rsidP="00F00E77">
      <w:pPr>
        <w:keepLines/>
        <w:numPr>
          <w:ilvl w:val="2"/>
          <w:numId w:val="0"/>
        </w:numPr>
        <w:tabs>
          <w:tab w:val="num" w:pos="624"/>
        </w:tabs>
        <w:spacing w:before="60" w:after="0" w:line="240" w:lineRule="auto"/>
        <w:jc w:val="both"/>
        <w:outlineLvl w:val="2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Kontaktní osoba kupujícího</w:t>
      </w:r>
      <w:r w:rsidR="009300A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 v záležitosti dodávky předmětu koupě</w:t>
      </w: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:</w:t>
      </w:r>
    </w:p>
    <w:p w14:paraId="1AC84B5A" w14:textId="77777777" w:rsidR="00F00E77" w:rsidRPr="00414AA8" w:rsidRDefault="00F00E77" w:rsidP="003E642A">
      <w:pPr>
        <w:keepLines/>
        <w:numPr>
          <w:ilvl w:val="2"/>
          <w:numId w:val="0"/>
        </w:numPr>
        <w:tabs>
          <w:tab w:val="num" w:pos="624"/>
        </w:tabs>
        <w:spacing w:before="60" w:after="0" w:line="240" w:lineRule="auto"/>
        <w:jc w:val="both"/>
        <w:outlineLvl w:val="2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</w:p>
    <w:p w14:paraId="10FF716C" w14:textId="5937365C" w:rsidR="00F00E77" w:rsidRPr="00022CBE" w:rsidRDefault="00F00E77" w:rsidP="00F00E77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022CB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Petr Musílek, tel. </w:t>
      </w:r>
      <w:r w:rsidRPr="00022CBE">
        <w:rPr>
          <w:rFonts w:ascii="Times New Roman" w:hAnsi="Times New Roman" w:cs="Times New Roman"/>
          <w:iCs/>
          <w:sz w:val="24"/>
          <w:szCs w:val="24"/>
          <w:lang w:eastAsia="cs-CZ"/>
        </w:rPr>
        <w:t>321 748</w:t>
      </w:r>
      <w:r>
        <w:rPr>
          <w:rFonts w:ascii="Times New Roman" w:hAnsi="Times New Roman" w:cs="Times New Roman"/>
          <w:iCs/>
          <w:sz w:val="24"/>
          <w:szCs w:val="24"/>
          <w:lang w:eastAsia="cs-CZ"/>
        </w:rPr>
        <w:t> </w:t>
      </w:r>
      <w:r w:rsidRPr="00022CBE">
        <w:rPr>
          <w:rFonts w:ascii="Times New Roman" w:hAnsi="Times New Roman" w:cs="Times New Roman"/>
          <w:iCs/>
          <w:sz w:val="24"/>
          <w:szCs w:val="24"/>
          <w:lang w:eastAsia="cs-CZ"/>
        </w:rPr>
        <w:t>391</w:t>
      </w:r>
      <w:r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, </w:t>
      </w:r>
      <w:r w:rsidRPr="00022CBE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602 214</w:t>
      </w:r>
      <w:r>
        <w:rPr>
          <w:rFonts w:ascii="Times New Roman" w:hAnsi="Times New Roman" w:cs="Times New Roman"/>
          <w:iCs/>
          <w:sz w:val="24"/>
          <w:szCs w:val="24"/>
          <w:lang w:eastAsia="cs-CZ"/>
        </w:rPr>
        <w:t> </w:t>
      </w:r>
      <w:r w:rsidRPr="00022CBE">
        <w:rPr>
          <w:rFonts w:ascii="Times New Roman" w:hAnsi="Times New Roman" w:cs="Times New Roman"/>
          <w:iCs/>
          <w:sz w:val="24"/>
          <w:szCs w:val="24"/>
          <w:lang w:eastAsia="cs-CZ"/>
        </w:rPr>
        <w:t>535</w:t>
      </w:r>
      <w:r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, </w:t>
      </w: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email</w:t>
      </w:r>
      <w:r w:rsidRPr="00022CBE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:  </w:t>
      </w:r>
      <w:hyperlink r:id="rId7" w:history="1">
        <w:r w:rsidRPr="00D42733">
          <w:rPr>
            <w:rStyle w:val="Hypertextovodkaz"/>
            <w:rFonts w:ascii="Times New Roman" w:eastAsia="Times New Roman" w:hAnsi="Times New Roman" w:cs="Times New Roman"/>
            <w:kern w:val="28"/>
            <w:sz w:val="24"/>
            <w:szCs w:val="24"/>
            <w:lang w:eastAsia="cs-CZ"/>
          </w:rPr>
          <w:t>petr.musilek@mukolin.cz</w:t>
        </w:r>
      </w:hyperlink>
    </w:p>
    <w:p w14:paraId="32AEF8C7" w14:textId="77777777" w:rsidR="00F00E77" w:rsidRDefault="00F00E77" w:rsidP="00F00E77">
      <w:pPr>
        <w:keepLines/>
        <w:spacing w:before="60" w:after="0" w:line="240" w:lineRule="auto"/>
        <w:jc w:val="both"/>
        <w:outlineLvl w:val="2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Kontaktní osoba prodávajícího:</w:t>
      </w:r>
    </w:p>
    <w:p w14:paraId="7D8ABB23" w14:textId="77777777" w:rsidR="00F00E77" w:rsidRPr="00414AA8" w:rsidRDefault="00F00E77" w:rsidP="00F00E77">
      <w:pPr>
        <w:keepLines/>
        <w:spacing w:before="60" w:after="0" w:line="240" w:lineRule="auto"/>
        <w:ind w:left="907"/>
        <w:jc w:val="both"/>
        <w:outlineLvl w:val="2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</w:p>
    <w:p w14:paraId="4E3A2D8B" w14:textId="39295A37" w:rsidR="00F00E77" w:rsidRDefault="001830DE" w:rsidP="00F00E77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eastAsia="cs-CZ"/>
        </w:rPr>
        <w:t>Xxx</w:t>
      </w:r>
      <w:r w:rsidR="00C671E5" w:rsidRPr="003E642A"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eastAsia="cs-CZ"/>
        </w:rPr>
        <w:t xml:space="preserve">, tel.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eastAsia="cs-CZ"/>
        </w:rPr>
        <w:t>123</w:t>
      </w:r>
      <w:r w:rsidR="00C671E5" w:rsidRPr="003E642A"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eastAsia="cs-CZ"/>
        </w:rPr>
        <w:t>, email: @</w:t>
      </w:r>
    </w:p>
    <w:p w14:paraId="28F202D7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63C7AC" w14:textId="77777777" w:rsidR="00F00E77" w:rsidRPr="00414AA8" w:rsidRDefault="00F00E77" w:rsidP="00F00E77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bookmarkStart w:id="31" w:name="_Ref168547972"/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Všechna oznámení mezi smluvními stranami, která se vztahují k této smlouvě, nebo která mají být učiněna na základě této smlouvy, musí být učiněna v písemné formě a doručena druhé smluvní straně, není-li v této smlouvě nebo mezi smluvními stranami dohodnuto jinak.</w:t>
      </w:r>
      <w:bookmarkEnd w:id="31"/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 </w:t>
      </w:r>
    </w:p>
    <w:p w14:paraId="79EFFBF4" w14:textId="77777777" w:rsidR="00F00E77" w:rsidRPr="00414AA8" w:rsidRDefault="00F00E77" w:rsidP="00F00E77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bookmarkStart w:id="32" w:name="_Ref168547977"/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Oznámení se považují za doručená uplynutím třetího (3) dne po jejich prokazatelném odeslání.</w:t>
      </w:r>
      <w:bookmarkEnd w:id="32"/>
    </w:p>
    <w:p w14:paraId="06A1C41E" w14:textId="77777777" w:rsidR="00F00E77" w:rsidRPr="00414AA8" w:rsidRDefault="00F00E77" w:rsidP="00F00E77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bookmarkStart w:id="33" w:name="_Ref168547979"/>
      <w:r w:rsidRPr="00414AA8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Smluvní strany se zavazují, že v případě změny své adresy budou o této změně druhou smluvní stranu informovat nejpozději do tří (3) dnů.</w:t>
      </w:r>
      <w:bookmarkEnd w:id="33"/>
    </w:p>
    <w:p w14:paraId="06ED6BC6" w14:textId="77777777" w:rsidR="00F00E77" w:rsidRPr="00414AA8" w:rsidRDefault="00F00E77" w:rsidP="00F00E77">
      <w:pPr>
        <w:keepLines/>
        <w:numPr>
          <w:ilvl w:val="2"/>
          <w:numId w:val="0"/>
        </w:numPr>
        <w:tabs>
          <w:tab w:val="num" w:pos="624"/>
        </w:tabs>
        <w:spacing w:before="60" w:after="0" w:line="240" w:lineRule="auto"/>
        <w:jc w:val="both"/>
        <w:outlineLvl w:val="2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</w:p>
    <w:p w14:paraId="5D4C393C" w14:textId="77777777" w:rsidR="00F00E77" w:rsidRPr="00414AA8" w:rsidRDefault="00F00E77" w:rsidP="00F00E77">
      <w:pPr>
        <w:keepNext/>
        <w:keepLines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</w:pPr>
      <w:bookmarkStart w:id="34" w:name="_Ref168555408"/>
      <w:bookmarkStart w:id="35" w:name="_Toc384983070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XII. Řešení sporů</w:t>
      </w:r>
      <w:bookmarkEnd w:id="34"/>
      <w:bookmarkEnd w:id="35"/>
    </w:p>
    <w:p w14:paraId="226783F0" w14:textId="77777777" w:rsidR="00404515" w:rsidRDefault="00404515" w:rsidP="00404515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spory, které vzniknou z této smlouvy, se budou smluvní strany snažit řešit smírně a pro takový případ se zavazují o smíru jednat. V případě, že spory nebudou moci být vyřešeny postupem uvedeným v první větě tohoto odstavce, budou je smluvní strany řešit soudně.</w:t>
      </w:r>
    </w:p>
    <w:p w14:paraId="11DEC47D" w14:textId="0896C617" w:rsidR="00404515" w:rsidRPr="00404515" w:rsidRDefault="00404515" w:rsidP="00404515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využívají možnosti dané ustanovením § 89a zákona č. 99/1963 Sb., občanský sou</w:t>
      </w:r>
      <w:r w:rsidRPr="00E252E8">
        <w:rPr>
          <w:rFonts w:ascii="Times New Roman" w:eastAsia="Times New Roman" w:hAnsi="Times New Roman" w:cs="Times New Roman"/>
          <w:sz w:val="24"/>
          <w:szCs w:val="24"/>
          <w:lang w:eastAsia="cs-CZ"/>
        </w:rPr>
        <w:t>dní řád, ve znění pozdějších předpisů a tímto si sjednávají místní příslušnost soudu prvního stupně kupujícího, tj. Okresní soud v Kolíně, pokud zákon nestanoví příslušnost výlučnou.</w:t>
      </w:r>
    </w:p>
    <w:p w14:paraId="3F61CA13" w14:textId="77777777" w:rsidR="00F00E77" w:rsidRPr="00414AA8" w:rsidRDefault="00F00E77" w:rsidP="00F00E7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215A4" w14:textId="2100928A" w:rsidR="00F00E77" w:rsidRPr="00414AA8" w:rsidRDefault="00F00E77" w:rsidP="00F00E77">
      <w:pPr>
        <w:keepNext/>
        <w:keepLines/>
        <w:spacing w:before="360" w:after="24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bookmarkStart w:id="36" w:name="_Ref168555469"/>
      <w:bookmarkStart w:id="37" w:name="_Toc384983071"/>
      <w:r w:rsidRPr="00414A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lastRenderedPageBreak/>
        <w:t xml:space="preserve">XIII. Závěrečná </w:t>
      </w:r>
      <w:bookmarkStart w:id="38" w:name="_Ref168555595"/>
      <w:bookmarkEnd w:id="36"/>
      <w:bookmarkEnd w:id="37"/>
      <w:r w:rsidR="004045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>ujednání</w:t>
      </w:r>
    </w:p>
    <w:p w14:paraId="3A550D30" w14:textId="5F97F146" w:rsidR="00404515" w:rsidRDefault="00F00E77" w:rsidP="00F00E77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mezi smluvními stranami se řídí touto smlouvou a občanským zákoníkem</w:t>
      </w:r>
      <w:r w:rsidR="00404515" w:rsidRPr="00404515">
        <w:t xml:space="preserve"> </w:t>
      </w:r>
      <w:r w:rsidR="00404515" w:rsidRP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předpisů souvisejících.</w:t>
      </w:r>
    </w:p>
    <w:p w14:paraId="293CA81E" w14:textId="273BD0F9" w:rsidR="00F00E77" w:rsidRPr="0018160F" w:rsidRDefault="00404515" w:rsidP="0018160F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160F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  <w:bookmarkEnd w:id="38"/>
    </w:p>
    <w:p w14:paraId="170A3DAD" w14:textId="2B766CD2" w:rsidR="00F00E77" w:rsidRPr="00414AA8" w:rsidRDefault="00F00E77" w:rsidP="00F00E77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Je-li nebo stane-li se některé </w:t>
      </w:r>
      <w:r w:rsidR="00404515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 w:rsidR="00404515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smlouvy neplatné či neúčinné, zůstávají ostatní </w:t>
      </w:r>
      <w:r w:rsidR="00404515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 w:rsidR="00404515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smlouvy platná a účinná. Na místo neplatného či neúčinného </w:t>
      </w:r>
      <w:r w:rsidR="00404515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 w:rsidR="00404515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se použijí u</w:t>
      </w:r>
      <w:r w:rsid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obecně závazných právních předpisů upravujících otázku vzájemného vztahu smluvních stran. Smluvní strany se pak zavazují upravit svůj vztah přijetím jiného u</w:t>
      </w:r>
      <w:r w:rsid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 svým obsahem nejlépe odpovídalo záměru </w:t>
      </w:r>
      <w:r w:rsidR="00404515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 w:rsidR="00404515"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neplatného či neúčinného. </w:t>
      </w:r>
    </w:p>
    <w:p w14:paraId="7EECC0DA" w14:textId="77777777" w:rsidR="00F00E77" w:rsidRPr="00414AA8" w:rsidRDefault="00F00E77" w:rsidP="00F00E77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případ, že tato smlouva není uzavírána za přítomnosti obou smluvních stran, platí, že smlouva nebude uzavřena, pokud ji jedna ze smluvních stran podepíše s jakoukoliv změnou či odchylkou, byť nepodstatnou, nebo dodatkem, ledaže druhá smluvní strana takovou změnu či odchylku nebo dodatek následně schválí.</w:t>
      </w:r>
    </w:p>
    <w:p w14:paraId="5BAF7570" w14:textId="77777777" w:rsidR="00F00E77" w:rsidRPr="00414AA8" w:rsidRDefault="00F00E77" w:rsidP="00F00E77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představuje úplné ujednání smluvních stran o jejím předmětu a nahrazuje a ruší jakékoli případné předchozí ústní či písemné dohody v této věci.</w:t>
      </w:r>
    </w:p>
    <w:p w14:paraId="75392878" w14:textId="35E221B6" w:rsidR="00F00E77" w:rsidRPr="00414AA8" w:rsidRDefault="00F00E77" w:rsidP="00F00E77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9" w:name="_Ref168555649"/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se vyhotovuje ve dvou stejnopisech, z nichž každá smluvní strana obdrží po jedné.</w:t>
      </w:r>
      <w:bookmarkEnd w:id="39"/>
    </w:p>
    <w:p w14:paraId="2CD27B2E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A1D9A2" w14:textId="5F270C78" w:rsidR="00404515" w:rsidRDefault="00404515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1631A8" w14:textId="067BE09D" w:rsidR="00404515" w:rsidRDefault="00404515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A352DF" w14:textId="77777777" w:rsidR="00190FDB" w:rsidRPr="00404515" w:rsidRDefault="00190FDB" w:rsidP="0019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Doložka:</w:t>
      </w:r>
    </w:p>
    <w:p w14:paraId="69AF264D" w14:textId="77777777" w:rsidR="00190FDB" w:rsidRPr="00404515" w:rsidRDefault="00190FDB" w:rsidP="0019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5D4A62" w14:textId="77777777" w:rsidR="00190FDB" w:rsidRDefault="00190FDB" w:rsidP="0019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Potvrzujeme ve smyslu § 41 zákona č. 128/2000 Sb., o obcích, ve znění pozdějších předpisů, že byly splněny podmínky pro platnost tohoto právního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 w:rsidRP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Tato smlouva byla projednána a odsouhlasena Radou města Kolína dne </w:t>
      </w:r>
      <w:r w:rsidRPr="009136C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04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usnesení č. </w:t>
      </w:r>
      <w:r w:rsidRPr="009136C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</w:t>
      </w:r>
    </w:p>
    <w:p w14:paraId="38FB9FD1" w14:textId="77777777" w:rsidR="00190FDB" w:rsidRDefault="00190FDB" w:rsidP="0019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2EE57A" w14:textId="77777777" w:rsidR="00190FDB" w:rsidRDefault="00190FDB" w:rsidP="0019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648DC6" w14:textId="019FBB40" w:rsidR="00404515" w:rsidRDefault="00404515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C45AFF" w14:textId="4AE3A9D3" w:rsidR="00404515" w:rsidRDefault="00404515" w:rsidP="0040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F6DE8B" w14:textId="0BC43AA3" w:rsidR="00404515" w:rsidRDefault="00404515" w:rsidP="0040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A4547" w14:textId="77777777" w:rsidR="00404515" w:rsidRPr="00414AA8" w:rsidRDefault="00404515" w:rsidP="0040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1D2744" w14:textId="77777777" w:rsidR="00F00E77" w:rsidRPr="00414AA8" w:rsidRDefault="00F00E77" w:rsidP="00F00E77">
      <w:pPr>
        <w:tabs>
          <w:tab w:val="center" w:pos="1980"/>
          <w:tab w:val="center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783CCF" w14:textId="23FBF523" w:rsidR="00F00E77" w:rsidRPr="00414AA8" w:rsidRDefault="00F00E77" w:rsidP="00F00E77">
      <w:pPr>
        <w:tabs>
          <w:tab w:val="center" w:pos="1980"/>
          <w:tab w:val="center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Kolíně dne </w:t>
      </w:r>
      <w:r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623B2D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18160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23B2D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1816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623B2D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FC1BA9F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21557B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D922DA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AF6DD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7D44D0" w14:textId="77777777" w:rsidR="00F00E77" w:rsidRPr="00414AA8" w:rsidRDefault="00F00E77" w:rsidP="00F00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CEDBF9" w14:textId="77777777" w:rsidR="00623B2D" w:rsidRPr="00414AA8" w:rsidRDefault="00623B2D" w:rsidP="00623B2D">
      <w:pPr>
        <w:tabs>
          <w:tab w:val="center" w:pos="1980"/>
          <w:tab w:val="center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______________________ 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</w:t>
      </w:r>
    </w:p>
    <w:p w14:paraId="50D99D6C" w14:textId="77777777" w:rsidR="00623B2D" w:rsidRDefault="00623B2D" w:rsidP="00623B2D">
      <w:pPr>
        <w:tabs>
          <w:tab w:val="center" w:pos="1980"/>
          <w:tab w:val="center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upující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40" w:name="_Hlt415560808"/>
      <w:bookmarkStart w:id="41" w:name="_Hlt413729504"/>
      <w:bookmarkStart w:id="42" w:name="_Hlt413729516"/>
      <w:bookmarkEnd w:id="40"/>
      <w:bookmarkEnd w:id="41"/>
      <w:bookmarkEnd w:id="42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</w:t>
      </w:r>
      <w:r w:rsidRPr="00414AA8">
        <w:rPr>
          <w:rFonts w:ascii="Times New Roman" w:eastAsia="Times New Roman" w:hAnsi="Times New Roman" w:cs="Times New Roman"/>
          <w:sz w:val="24"/>
          <w:szCs w:val="24"/>
          <w:lang w:eastAsia="cs-CZ"/>
        </w:rPr>
        <w:t>rodávající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</w:p>
    <w:p w14:paraId="47791A64" w14:textId="77777777" w:rsidR="00623B2D" w:rsidRDefault="00623B2D" w:rsidP="00623B2D">
      <w:pPr>
        <w:tabs>
          <w:tab w:val="center" w:pos="1980"/>
          <w:tab w:val="center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A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Mgr. Michael Kašpar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E642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, jednatel</w:t>
      </w:r>
    </w:p>
    <w:p w14:paraId="0BF64639" w14:textId="77777777" w:rsidR="00623B2D" w:rsidRPr="00901B5E" w:rsidRDefault="00623B2D" w:rsidP="00623B2D">
      <w:pPr>
        <w:tabs>
          <w:tab w:val="center" w:pos="1980"/>
          <w:tab w:val="center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 Kolína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8377796" w14:textId="77777777" w:rsidR="000E6F88" w:rsidRDefault="000E6F88" w:rsidP="00623B2D">
      <w:pPr>
        <w:tabs>
          <w:tab w:val="center" w:pos="1980"/>
          <w:tab w:val="center" w:pos="7020"/>
        </w:tabs>
        <w:spacing w:after="0" w:line="240" w:lineRule="auto"/>
      </w:pPr>
    </w:p>
    <w:sectPr w:rsidR="000E6F88" w:rsidSect="00F63CFB">
      <w:headerReference w:type="first" r:id="rId8"/>
      <w:footerReference w:type="first" r:id="rId9"/>
      <w:endnotePr>
        <w:numFmt w:val="upperLetter"/>
      </w:endnotePr>
      <w:pgSz w:w="11907" w:h="16834"/>
      <w:pgMar w:top="1134" w:right="1134" w:bottom="992" w:left="1134" w:header="431" w:footer="748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CD9C5" w16cex:dateUtc="2020-12-10T16:30:00Z"/>
  <w16cex:commentExtensible w16cex:durableId="237CED9A" w16cex:dateUtc="2020-12-10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D7FD14" w16cid:durableId="237CD9C5"/>
  <w16cid:commentId w16cid:paraId="602C4BE5" w16cid:durableId="237CED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ADFBD" w14:textId="77777777" w:rsidR="006453C9" w:rsidRDefault="006453C9">
      <w:pPr>
        <w:spacing w:after="0" w:line="240" w:lineRule="auto"/>
      </w:pPr>
      <w:r>
        <w:separator/>
      </w:r>
    </w:p>
  </w:endnote>
  <w:endnote w:type="continuationSeparator" w:id="0">
    <w:p w14:paraId="690D7D22" w14:textId="77777777" w:rsidR="006453C9" w:rsidRDefault="0064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C811" w14:textId="3AA5E25E" w:rsidR="00F63CFB" w:rsidRDefault="00F63CFB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8160F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A3769" w14:textId="77777777" w:rsidR="006453C9" w:rsidRDefault="006453C9">
      <w:pPr>
        <w:spacing w:after="0" w:line="240" w:lineRule="auto"/>
      </w:pPr>
      <w:r>
        <w:separator/>
      </w:r>
    </w:p>
  </w:footnote>
  <w:footnote w:type="continuationSeparator" w:id="0">
    <w:p w14:paraId="732024A1" w14:textId="77777777" w:rsidR="006453C9" w:rsidRDefault="0064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E4C79" w14:textId="77777777" w:rsidR="00F63CFB" w:rsidRDefault="00F63CFB">
    <w:pPr>
      <w:pStyle w:val="Zhlav"/>
    </w:pPr>
  </w:p>
  <w:p w14:paraId="05D8C38F" w14:textId="77777777" w:rsidR="00F63CFB" w:rsidRDefault="00F63CFB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197"/>
    <w:multiLevelType w:val="hybridMultilevel"/>
    <w:tmpl w:val="94EC9F16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0D82"/>
    <w:multiLevelType w:val="hybridMultilevel"/>
    <w:tmpl w:val="94EC9F16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AB2"/>
    <w:multiLevelType w:val="hybridMultilevel"/>
    <w:tmpl w:val="EDAC7C58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0D69"/>
    <w:multiLevelType w:val="hybridMultilevel"/>
    <w:tmpl w:val="6CA2DA06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60FE"/>
    <w:multiLevelType w:val="hybridMultilevel"/>
    <w:tmpl w:val="94EC9F16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5B5C"/>
    <w:multiLevelType w:val="hybridMultilevel"/>
    <w:tmpl w:val="EDAC7C58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74839"/>
    <w:multiLevelType w:val="hybridMultilevel"/>
    <w:tmpl w:val="1F20679E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B2AF4"/>
    <w:multiLevelType w:val="hybridMultilevel"/>
    <w:tmpl w:val="EDAC7C58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2670A"/>
    <w:multiLevelType w:val="hybridMultilevel"/>
    <w:tmpl w:val="6CA2DA06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293D"/>
    <w:multiLevelType w:val="hybridMultilevel"/>
    <w:tmpl w:val="EDAC7C58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2476"/>
    <w:multiLevelType w:val="hybridMultilevel"/>
    <w:tmpl w:val="EDAC7C58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006DF"/>
    <w:multiLevelType w:val="hybridMultilevel"/>
    <w:tmpl w:val="6E5C31AC"/>
    <w:lvl w:ilvl="0" w:tplc="ACF4AE4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22273"/>
    <w:multiLevelType w:val="hybridMultilevel"/>
    <w:tmpl w:val="6CA2DA06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94F2F"/>
    <w:multiLevelType w:val="hybridMultilevel"/>
    <w:tmpl w:val="EDAC7C58"/>
    <w:lvl w:ilvl="0" w:tplc="C328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77"/>
    <w:rsid w:val="00042CA1"/>
    <w:rsid w:val="000E6F88"/>
    <w:rsid w:val="0018160F"/>
    <w:rsid w:val="001830DE"/>
    <w:rsid w:val="00190FDB"/>
    <w:rsid w:val="00307361"/>
    <w:rsid w:val="00376346"/>
    <w:rsid w:val="00376B76"/>
    <w:rsid w:val="003A463B"/>
    <w:rsid w:val="003E642A"/>
    <w:rsid w:val="00404515"/>
    <w:rsid w:val="004167C3"/>
    <w:rsid w:val="00423926"/>
    <w:rsid w:val="005A1CFB"/>
    <w:rsid w:val="00623B2D"/>
    <w:rsid w:val="006453C9"/>
    <w:rsid w:val="00696C8B"/>
    <w:rsid w:val="006D67C0"/>
    <w:rsid w:val="007305D4"/>
    <w:rsid w:val="00751D53"/>
    <w:rsid w:val="008066E8"/>
    <w:rsid w:val="00895FB9"/>
    <w:rsid w:val="009300AE"/>
    <w:rsid w:val="0097723D"/>
    <w:rsid w:val="00A17021"/>
    <w:rsid w:val="00A52D69"/>
    <w:rsid w:val="00AE02EC"/>
    <w:rsid w:val="00B214EB"/>
    <w:rsid w:val="00C671E5"/>
    <w:rsid w:val="00D408D0"/>
    <w:rsid w:val="00E7400E"/>
    <w:rsid w:val="00ED4C77"/>
    <w:rsid w:val="00F00E77"/>
    <w:rsid w:val="00F63CFB"/>
    <w:rsid w:val="00F7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3847"/>
  <w15:chartTrackingRefBased/>
  <w15:docId w15:val="{ED64D7B9-3C27-4626-89B4-6914EBEA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E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E77"/>
  </w:style>
  <w:style w:type="paragraph" w:styleId="Zpat">
    <w:name w:val="footer"/>
    <w:basedOn w:val="Normln"/>
    <w:link w:val="ZpatChar"/>
    <w:uiPriority w:val="99"/>
    <w:unhideWhenUsed/>
    <w:rsid w:val="00F0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E77"/>
  </w:style>
  <w:style w:type="character" w:styleId="slostrnky">
    <w:name w:val="page number"/>
    <w:rsid w:val="00F00E77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F00E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00E77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0E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D53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C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petr.musilek@muko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2161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 Šárka</dc:creator>
  <cp:keywords/>
  <dc:description/>
  <cp:lastModifiedBy>Kučerová  Petra</cp:lastModifiedBy>
  <cp:revision>3</cp:revision>
  <cp:lastPrinted>2020-12-11T07:10:00Z</cp:lastPrinted>
  <dcterms:created xsi:type="dcterms:W3CDTF">2025-08-11T06:12:00Z</dcterms:created>
  <dcterms:modified xsi:type="dcterms:W3CDTF">2025-08-11T09:49:00Z</dcterms:modified>
</cp:coreProperties>
</file>