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DD2C87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Default="006B637F" w:rsidP="00DD2C87">
      <w:pPr>
        <w:pStyle w:val="Zkladntext"/>
        <w:ind w:left="-180" w:right="-108"/>
        <w:rPr>
          <w:sz w:val="22"/>
          <w:szCs w:val="22"/>
        </w:rPr>
      </w:pPr>
      <w:r>
        <w:rPr>
          <w:b w:val="0"/>
        </w:rPr>
        <w:t>„</w:t>
      </w:r>
      <w:r w:rsidR="00E4566B">
        <w:rPr>
          <w:b w:val="0"/>
        </w:rPr>
        <w:t xml:space="preserve">Obnova </w:t>
      </w:r>
      <w:r w:rsidR="00FE18DE" w:rsidRPr="00FE18DE">
        <w:rPr>
          <w:b w:val="0"/>
        </w:rPr>
        <w:t>povrchu ve vybraných ulicích v</w:t>
      </w:r>
      <w:r w:rsidR="00070136">
        <w:rPr>
          <w:b w:val="0"/>
        </w:rPr>
        <w:t> </w:t>
      </w:r>
      <w:r w:rsidR="00FE18DE" w:rsidRPr="00FE18DE">
        <w:rPr>
          <w:b w:val="0"/>
        </w:rPr>
        <w:t>Kolíně</w:t>
      </w:r>
      <w:r w:rsidR="00070136">
        <w:rPr>
          <w:b w:val="0"/>
        </w:rPr>
        <w:t xml:space="preserve"> a v Sendražicích</w:t>
      </w:r>
      <w:bookmarkStart w:id="0" w:name="_GoBack"/>
      <w:bookmarkEnd w:id="0"/>
      <w:r w:rsidR="00A55509">
        <w:rPr>
          <w:b w:val="0"/>
        </w:rPr>
        <w:t xml:space="preserve"> I</w:t>
      </w:r>
      <w:r w:rsidR="00EB2645">
        <w:rPr>
          <w:b w:val="0"/>
        </w:rPr>
        <w:t>I</w:t>
      </w:r>
      <w:r w:rsidR="00E37AD4">
        <w:rPr>
          <w:b w:val="0"/>
        </w:rPr>
        <w:t>. etapa</w:t>
      </w:r>
      <w:r>
        <w:rPr>
          <w:b w:val="0"/>
        </w:rPr>
        <w:t>“</w:t>
      </w:r>
    </w:p>
    <w:p w:rsidR="00DD2C87" w:rsidRDefault="00DD2C87" w:rsidP="00DD2C87">
      <w:pPr>
        <w:pStyle w:val="Zkladntext"/>
        <w:ind w:left="-180"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r w:rsidR="00C45128" w:rsidRPr="00C45128">
        <w:rPr>
          <w:sz w:val="22"/>
          <w:szCs w:val="22"/>
        </w:rPr>
        <w:t xml:space="preserve">splňuji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>, který</w:t>
      </w:r>
      <w:r w:rsidRPr="00875D88">
        <w:rPr>
          <w:sz w:val="22"/>
          <w:szCs w:val="22"/>
        </w:rPr>
        <w:t xml:space="preserve">: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 podle</w:t>
      </w:r>
      <w:r w:rsidR="00EA163F" w:rsidRPr="00EA163F">
        <w:rPr>
          <w:b w:val="0"/>
          <w:sz w:val="22"/>
          <w:szCs w:val="22"/>
        </w:rPr>
        <w:t xml:space="preserve"> 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8D054B" w:rsidRP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……………….              ....………….……………………………………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7"/>
    <w:rsid w:val="00004E87"/>
    <w:rsid w:val="0000676D"/>
    <w:rsid w:val="00070136"/>
    <w:rsid w:val="000B2E45"/>
    <w:rsid w:val="000D244D"/>
    <w:rsid w:val="00153109"/>
    <w:rsid w:val="00174229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24E9B"/>
    <w:rsid w:val="00533E6B"/>
    <w:rsid w:val="006664CF"/>
    <w:rsid w:val="00675858"/>
    <w:rsid w:val="006B637F"/>
    <w:rsid w:val="006D4CE2"/>
    <w:rsid w:val="006E383C"/>
    <w:rsid w:val="006F7E6A"/>
    <w:rsid w:val="00720E80"/>
    <w:rsid w:val="0072474D"/>
    <w:rsid w:val="007D5066"/>
    <w:rsid w:val="007D66FA"/>
    <w:rsid w:val="007E0DD4"/>
    <w:rsid w:val="0080743C"/>
    <w:rsid w:val="00815F13"/>
    <w:rsid w:val="008D054B"/>
    <w:rsid w:val="008D5E49"/>
    <w:rsid w:val="008F272B"/>
    <w:rsid w:val="00905EFE"/>
    <w:rsid w:val="0093146F"/>
    <w:rsid w:val="00931490"/>
    <w:rsid w:val="0094021B"/>
    <w:rsid w:val="00963EA1"/>
    <w:rsid w:val="009C5651"/>
    <w:rsid w:val="00A50BC4"/>
    <w:rsid w:val="00A55509"/>
    <w:rsid w:val="00B03B4A"/>
    <w:rsid w:val="00BA1C0F"/>
    <w:rsid w:val="00BA37DE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E37AD4"/>
    <w:rsid w:val="00E4566B"/>
    <w:rsid w:val="00E458CC"/>
    <w:rsid w:val="00EA163F"/>
    <w:rsid w:val="00EB2645"/>
    <w:rsid w:val="00EC2463"/>
    <w:rsid w:val="00EC536F"/>
    <w:rsid w:val="00F05683"/>
    <w:rsid w:val="00F26137"/>
    <w:rsid w:val="00F42864"/>
    <w:rsid w:val="00FB17DB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5373"/>
  <w15:docId w15:val="{AA3AF7FD-19A9-416E-90BD-221FB9A4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5EE50-A918-4675-87F8-E5E9B539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Luťhová Iveta</cp:lastModifiedBy>
  <cp:revision>15</cp:revision>
  <cp:lastPrinted>2017-04-04T05:19:00Z</cp:lastPrinted>
  <dcterms:created xsi:type="dcterms:W3CDTF">2017-09-19T06:12:00Z</dcterms:created>
  <dcterms:modified xsi:type="dcterms:W3CDTF">2025-04-10T10:53:00Z</dcterms:modified>
</cp:coreProperties>
</file>